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REGULATORY SOVEREIGNTY
REQUIREMENTS BY INDUSTRY</w:t>
      </w:r>
    </w:p>
    <w:p>
      <w:pPr>
        <w:spacing w:after="300"/>
        <w:jc w:val="center"/>
      </w:pPr>
      <w:r>
        <w:rPr>
          <w:i/>
          <w:iCs/>
          <w:color w:val="666666"/>
          <w:sz w:val="20"/>
          <w:szCs w:val="20"/>
        </w:rPr>
        <w:t xml:space="preserve">Quick reference for industry-specific data residency, compliance, and governance requirements</w:t>
      </w:r>
    </w:p>
    <w:p>
      <w:pPr>
        <w:pStyle w:val="Heading1"/>
        <w:shd w:fill="1a365d" w:val="clear"/>
      </w:pPr>
      <w:r>
        <w:rPr>
          <w:color w:val="FFFFFF"/>
        </w:rPr>
        <w:t xml:space="preserve">  FINANCIAL SERVICES</w:t>
      </w:r>
    </w:p>
    <w:p>
      <w:pPr>
        <w:pStyle w:val="Heading2"/>
      </w:pPr>
      <w:r>
        <w:t xml:space="preserve">Key Regulations</w:t>
      </w:r>
    </w:p>
    <w:p>
      <w:r>
        <w:rPr>
          <w:b/>
          <w:bCs/>
        </w:rPr>
        <w:t xml:space="preserve">• SOX (Sarbanes-Oxley): </w:t>
      </w:r>
      <w:r>
        <w:t xml:space="preserve">Data integrity, audit trails, internal controls</w:t>
      </w:r>
    </w:p>
    <w:p>
      <w:r>
        <w:rPr>
          <w:b/>
          <w:bCs/>
        </w:rPr>
        <w:t xml:space="preserve">• GLBA (Gramm-Leach-Bliley): </w:t>
      </w:r>
      <w:r>
        <w:t xml:space="preserve">Customer data protection, breach notification</w:t>
      </w:r>
    </w:p>
    <w:p>
      <w:r>
        <w:rPr>
          <w:b/>
          <w:bCs/>
        </w:rPr>
        <w:t xml:space="preserve">• PCI-DSS: </w:t>
      </w:r>
      <w:r>
        <w:t xml:space="preserve">Payment card data security, encryption requirements</w:t>
      </w:r>
    </w:p>
    <w:p>
      <w:r>
        <w:rPr>
          <w:b/>
          <w:bCs/>
        </w:rPr>
        <w:t xml:space="preserve">• FFIEC Guidelines: </w:t>
      </w:r>
      <w:r>
        <w:t xml:space="preserve">Third-party risk management, business continuity</w:t>
      </w:r>
    </w:p>
    <w:p>
      <w:r>
        <w:rPr>
          <w:b/>
          <w:bCs/>
        </w:rPr>
        <w:t xml:space="preserve">• SEC Reg S-P: </w:t>
      </w:r>
      <w:r>
        <w:t xml:space="preserve">Customer privacy, data disposal</w:t>
      </w:r>
    </w:p>
    <w:p>
      <w:pPr>
        <w:pStyle w:val="Heading2"/>
      </w:pPr>
      <w:r>
        <w:t xml:space="preserve">Sovereignty Implications</w:t>
      </w:r>
    </w:p>
    <w:p>
      <w:r>
        <w:t xml:space="preserve">• Audit trails must be immutable and retained 7+ years</w:t>
      </w:r>
    </w:p>
    <w:p>
      <w:r>
        <w:t xml:space="preserve">• Third-party vendors subject to same controls as bank</w:t>
      </w:r>
    </w:p>
    <w:p>
      <w:r>
        <w:t xml:space="preserve">• Regulators may require on-premise inspection rights</w:t>
      </w:r>
    </w:p>
    <w:p>
      <w:r>
        <w:t xml:space="preserve">• Exit planning mandatory for critical vendors</w:t>
      </w:r>
    </w:p>
    <w:p>
      <w:r>
        <w:t xml:space="preserve">• AI in lending decisions subject to fair lending laws</w:t>
      </w:r>
    </w:p>
    <w:p>
      <w:pPr>
        <w:pStyle w:val="Heading1"/>
        <w:shd w:fill="2f855a" w:val="clear"/>
      </w:pPr>
      <w:r>
        <w:rPr>
          <w:color w:val="FFFFFF"/>
        </w:rPr>
        <w:t xml:space="preserve">  HEALTHCARE</w:t>
      </w:r>
    </w:p>
    <w:p>
      <w:pPr>
        <w:pStyle w:val="Heading2"/>
      </w:pPr>
      <w:r>
        <w:t xml:space="preserve">Key Regulations</w:t>
      </w:r>
    </w:p>
    <w:p>
      <w:r>
        <w:rPr>
          <w:b/>
          <w:bCs/>
        </w:rPr>
        <w:t xml:space="preserve">• HIPAA: </w:t>
      </w:r>
      <w:r>
        <w:t xml:space="preserve">PHI protection, breach notification within 60 days</w:t>
      </w:r>
    </w:p>
    <w:p>
      <w:r>
        <w:rPr>
          <w:b/>
          <w:bCs/>
        </w:rPr>
        <w:t xml:space="preserve">• HITECH Act: </w:t>
      </w:r>
      <w:r>
        <w:t xml:space="preserve">EHR security, breach penalties up to $1.5M</w:t>
      </w:r>
    </w:p>
    <w:p>
      <w:r>
        <w:rPr>
          <w:b/>
          <w:bCs/>
        </w:rPr>
        <w:t xml:space="preserve">• 21 CFR Part 11: </w:t>
      </w:r>
      <w:r>
        <w:t xml:space="preserve">Electronic records, electronic signatures</w:t>
      </w:r>
    </w:p>
    <w:p>
      <w:r>
        <w:rPr>
          <w:b/>
          <w:bCs/>
        </w:rPr>
        <w:t xml:space="preserve">• State privacy laws: </w:t>
      </w:r>
      <w:r>
        <w:t xml:space="preserve">California, Texas, New York have additional requirements</w:t>
      </w:r>
    </w:p>
    <w:p>
      <w:pPr>
        <w:pStyle w:val="Heading2"/>
      </w:pPr>
      <w:r>
        <w:t xml:space="preserve">Sovereignty Implications</w:t>
      </w:r>
    </w:p>
    <w:p>
      <w:r>
        <w:t xml:space="preserve">• Business Associate Agreements (BAAs) required for all vendors handling PHI</w:t>
      </w:r>
    </w:p>
    <w:p>
      <w:r>
        <w:t xml:space="preserve">• Data residency preferences (US-only for many organizations)</w:t>
      </w:r>
    </w:p>
    <w:p>
      <w:r>
        <w:t xml:space="preserve">• Patient right to data access and deletion</w:t>
      </w:r>
    </w:p>
    <w:p>
      <w:r>
        <w:t xml:space="preserve">• AI/ML in diagnosis subject to FDA oversight</w:t>
      </w:r>
    </w:p>
    <w:p>
      <w:r>
        <w:t xml:space="preserve">• Ransomware/downtime directly impacts patient safety</w:t>
      </w:r>
    </w:p>
    <w:p>
      <w:pPr>
        <w:pStyle w:val="Heading1"/>
        <w:shd w:fill="2b6cb0" w:val="clear"/>
      </w:pPr>
      <w:r>
        <w:rPr>
          <w:color w:val="FFFFFF"/>
        </w:rPr>
        <w:t xml:space="preserve">  GOVERNMENT / PUBLIC SECTOR</w:t>
      </w:r>
    </w:p>
    <w:p>
      <w:pPr>
        <w:pStyle w:val="Heading2"/>
      </w:pPr>
      <w:r>
        <w:t xml:space="preserve">Key Regulations</w:t>
      </w:r>
    </w:p>
    <w:p>
      <w:r>
        <w:rPr>
          <w:b/>
          <w:bCs/>
        </w:rPr>
        <w:t xml:space="preserve">• FedRAMP: </w:t>
      </w:r>
      <w:r>
        <w:t xml:space="preserve">Cloud security authorization for federal agencies</w:t>
      </w:r>
    </w:p>
    <w:p>
      <w:r>
        <w:rPr>
          <w:b/>
          <w:bCs/>
        </w:rPr>
        <w:t xml:space="preserve">• FISMA: </w:t>
      </w:r>
      <w:r>
        <w:t xml:space="preserve">Federal information security management</w:t>
      </w:r>
    </w:p>
    <w:p>
      <w:r>
        <w:rPr>
          <w:b/>
          <w:bCs/>
        </w:rPr>
        <w:t xml:space="preserve">• CJIS: </w:t>
      </w:r>
      <w:r>
        <w:t xml:space="preserve">Criminal justice information security</w:t>
      </w:r>
    </w:p>
    <w:p>
      <w:r>
        <w:rPr>
          <w:b/>
          <w:bCs/>
        </w:rPr>
        <w:t xml:space="preserve">• ITAR: </w:t>
      </w:r>
      <w:r>
        <w:t xml:space="preserve">Defense-related data export controls</w:t>
      </w:r>
    </w:p>
    <w:p>
      <w:r>
        <w:rPr>
          <w:b/>
          <w:bCs/>
        </w:rPr>
        <w:t xml:space="preserve">• StateRAMP: </w:t>
      </w:r>
      <w:r>
        <w:t xml:space="preserve">State-level cloud security (emerging)</w:t>
      </w:r>
    </w:p>
    <w:p>
      <w:pPr>
        <w:pStyle w:val="Heading2"/>
      </w:pPr>
      <w:r>
        <w:t xml:space="preserve">Sovereignty Implications</w:t>
      </w:r>
    </w:p>
    <w:p>
      <w:r>
        <w:t xml:space="preserve">• US-only data residency often mandatory</w:t>
      </w:r>
    </w:p>
    <w:p>
      <w:r>
        <w:t xml:space="preserve">• US-person staffing requirements for some data</w:t>
      </w:r>
    </w:p>
    <w:p>
      <w:r>
        <w:t xml:space="preserve">• Government-specific cloud regions (GovCloud)</w:t>
      </w:r>
    </w:p>
    <w:p>
      <w:r>
        <w:t xml:space="preserve">• Extensive audit and inspection rights</w:t>
      </w:r>
    </w:p>
    <w:p>
      <w:r>
        <w:t xml:space="preserve">• Supply chain security (CMMC for defense contractors)</w:t>
      </w:r>
    </w:p>
    <w:p>
      <w:pPr>
        <w:pStyle w:val="Heading1"/>
        <w:shd w:fill="805ad5" w:val="clear"/>
      </w:pPr>
      <w:r>
        <w:rPr>
          <w:color w:val="FFFFFF"/>
        </w:rPr>
        <w:t xml:space="preserve">  RETAIL / E-COMMERCE</w:t>
      </w:r>
    </w:p>
    <w:p>
      <w:pPr>
        <w:pStyle w:val="Heading2"/>
      </w:pPr>
      <w:r>
        <w:t xml:space="preserve">Key Regulations</w:t>
      </w:r>
    </w:p>
    <w:p>
      <w:r>
        <w:rPr>
          <w:b/>
          <w:bCs/>
        </w:rPr>
        <w:t xml:space="preserve">• PCI-DSS: </w:t>
      </w:r>
      <w:r>
        <w:t xml:space="preserve">Payment card data security (all retailers)</w:t>
      </w:r>
    </w:p>
    <w:p>
      <w:r>
        <w:rPr>
          <w:b/>
          <w:bCs/>
        </w:rPr>
        <w:t xml:space="preserve">• CCPA/CPRA: </w:t>
      </w:r>
      <w:r>
        <w:t xml:space="preserve">California consumer privacy rights</w:t>
      </w:r>
    </w:p>
    <w:p>
      <w:r>
        <w:rPr>
          <w:b/>
          <w:bCs/>
        </w:rPr>
        <w:t xml:space="preserve">• State privacy laws: </w:t>
      </w:r>
      <w:r>
        <w:t xml:space="preserve">Virginia, Colorado, Connecticut, Utah, others emerging</w:t>
      </w:r>
    </w:p>
    <w:p>
      <w:r>
        <w:rPr>
          <w:b/>
          <w:bCs/>
        </w:rPr>
        <w:t xml:space="preserve">• GDPR: </w:t>
      </w:r>
      <w:r>
        <w:t xml:space="preserve">If serving EU customers</w:t>
      </w:r>
    </w:p>
    <w:p>
      <w:pPr>
        <w:pStyle w:val="Heading2"/>
      </w:pPr>
      <w:r>
        <w:t xml:space="preserve">Sovereignty Implications</w:t>
      </w:r>
    </w:p>
    <w:p>
      <w:r>
        <w:t xml:space="preserve">• Consumer right to deletion across all systems</w:t>
      </w:r>
    </w:p>
    <w:p>
      <w:r>
        <w:t xml:space="preserve">• Data portability requirements</w:t>
      </w:r>
    </w:p>
    <w:p>
      <w:r>
        <w:t xml:space="preserve">• Opt-out rights for data sales/sharing</w:t>
      </w:r>
    </w:p>
    <w:p>
      <w:r>
        <w:t xml:space="preserve">• AI in pricing/recommendations subject to disclosure</w:t>
      </w:r>
    </w:p>
    <w:p>
      <w:r>
        <w:t xml:space="preserve">• Peak season availability critical (Black Friday downtime = major losses)</w:t>
      </w:r>
    </w:p>
    <w:p>
      <w:r>
        <w:br w:type="page"/>
      </w:r>
    </w:p>
    <w:p>
      <w:pPr>
        <w:pStyle w:val="Heading1"/>
        <w:shd w:fill="c53030" w:val="clear"/>
      </w:pPr>
      <w:r>
        <w:rPr>
          <w:color w:val="FFFFFF"/>
        </w:rPr>
        <w:t xml:space="preserve">  CROSS-INDUSTRY: AI GOVERNANCE</w:t>
      </w:r>
    </w:p>
    <w:p>
      <w:pPr>
        <w:pStyle w:val="Heading2"/>
      </w:pPr>
      <w:r>
        <w:t xml:space="preserve">Emerging AI Regulations</w:t>
      </w:r>
    </w:p>
    <w:p>
      <w:r>
        <w:rPr>
          <w:b/>
          <w:bCs/>
        </w:rPr>
        <w:t xml:space="preserve">• EU AI Act (2024+): </w:t>
      </w:r>
      <w:r>
        <w:t xml:space="preserve">Risk-based AI classification, transparency requirements</w:t>
      </w:r>
    </w:p>
    <w:p>
      <w:r>
        <w:rPr>
          <w:b/>
          <w:bCs/>
        </w:rPr>
        <w:t xml:space="preserve">• NYC Local Law 144: </w:t>
      </w:r>
      <w:r>
        <w:t xml:space="preserve">Bias audits for automated employment decisions</w:t>
      </w:r>
    </w:p>
    <w:p>
      <w:r>
        <w:rPr>
          <w:b/>
          <w:bCs/>
        </w:rPr>
        <w:t xml:space="preserve">• Colorado AI Act (2026): </w:t>
      </w:r>
      <w:r>
        <w:t xml:space="preserve">High-risk AI governance requirements</w:t>
      </w:r>
    </w:p>
    <w:p>
      <w:r>
        <w:rPr>
          <w:b/>
          <w:bCs/>
        </w:rPr>
        <w:t xml:space="preserve">• NIST AI RMF: </w:t>
      </w:r>
      <w:r>
        <w:t xml:space="preserve">Federal AI risk management framework (voluntary but influential)</w:t>
      </w:r>
    </w:p>
    <w:p>
      <w:r>
        <w:rPr>
          <w:b/>
          <w:bCs/>
        </w:rPr>
        <w:t xml:space="preserve">• SEC AI Disclosure: </w:t>
      </w:r>
      <w:r>
        <w:t xml:space="preserve">Material AI risk disclosure for public companies</w:t>
      </w:r>
    </w:p>
    <w:p>
      <w:pPr>
        <w:pStyle w:val="Heading2"/>
      </w:pPr>
      <w:r>
        <w:t xml:space="preserve">Sovereignty Implications</w:t>
      </w:r>
    </w:p>
    <w:p>
      <w:r>
        <w:t xml:space="preserve">• Model documentation and audit trails mandatory</w:t>
      </w:r>
    </w:p>
    <w:p>
      <w:r>
        <w:t xml:space="preserve">• Human oversight requirements (autonomy level governance)</w:t>
      </w:r>
    </w:p>
    <w:p>
      <w:r>
        <w:t xml:space="preserve">• Bias testing and reporting</w:t>
      </w:r>
    </w:p>
    <w:p>
      <w:r>
        <w:t xml:space="preserve">• Third-party AI vendors subject to same governance</w:t>
      </w:r>
    </w:p>
    <w:p>
      <w:r>
        <w:t xml:space="preserve">• Right to explanation for AI decisions</w:t>
      </w:r>
    </w:p>
    <w:p>
      <w:pPr>
        <w:pStyle w:val="Heading1"/>
      </w:pPr>
      <w:r>
        <w:t xml:space="preserve">QUICK REFERENCE TABLE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Requirement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Finance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Healthcare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Government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US-only data residency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Recommended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Common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Required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Breach notification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Varies by state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60 days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24-72 hours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Third-party audits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Required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Required (BAA)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rPr>
                <w:b/>
                <w:bCs/>
              </w:rPr>
              <w:t xml:space="preserve">Required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Exit/portability rights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Regulatory expectation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Patient rights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Contract requirement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governance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Fair lending laws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FDA for diagnostics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Emerging requirements</w:t>
            </w:r>
          </w:p>
        </w:tc>
      </w:tr>
    </w:tbl>
    <w:p>
      <w:pPr>
        <w:spacing w:before="200"/>
      </w:pPr>
      <w:r>
        <w:rPr>
          <w:b/>
          <w:bCs/>
        </w:rPr>
        <w:t xml:space="preserve">Note: </w:t>
      </w:r>
      <w:r>
        <w:t xml:space="preserve">This is a general reference. Always consult legal counsel for specific compliance requirements. Regulations change frequently.</w:t>
      </w:r>
    </w:p>
    <w:p>
      <w:pPr>
        <w:spacing w:before="200"/>
        <w:jc w:val="center"/>
      </w:pPr>
      <w:r>
        <w:rPr>
          <w:color w:val="999999"/>
          <w:sz w:val="18"/>
          <w:szCs w:val="18"/>
        </w:rPr>
        <w:t xml:space="preserve">From "When Clouds Fail" by Steve Oppenheim</w:t>
      </w:r>
    </w:p>
    <w:sectPr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60"/>
      <w:jc w:val="center"/>
    </w:pPr>
    <w:rPr>
      <w:b/>
      <w:bCs/>
      <w:color w:val="1a365d"/>
      <w:sz w:val="40"/>
      <w:szCs w:val="40"/>
    </w:rPr>
  </w:style>
  <w:style w:type="paragraph" w:styleId="Heading1">
    <w:name w:val="Heading 1"/>
    <w:basedOn w:val="Normal"/>
    <w:pPr>
      <w:spacing w:before="280" w:after="120"/>
    </w:pPr>
    <w:rPr>
      <w:b/>
      <w:bCs/>
      <w:color w:val="1a365d"/>
      <w:sz w:val="26"/>
      <w:szCs w:val="26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2025-12-25T15:57:34.133Z</dcterms:created>
  <dcterms:modified xsi:type="dcterms:W3CDTF">2025-12-25T15:57:34.134Z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