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TECHNOLOGY RISK REGISTER</w:t>
      </w:r>
    </w:p>
    <w:p>
      <w:pPr>
        <w:spacing w:after="200"/>
        <w:jc w:val="center"/>
      </w:pPr>
      <w:r>
        <w:rPr>
          <w:i/>
          <w:iCs/>
          <w:color w:val="666666"/>
          <w:sz w:val="20"/>
          <w:szCs w:val="20"/>
        </w:rPr>
        <w:t xml:space="preserve">Track, assess, and mitigate technology risks with leadership visibility</w:t>
      </w:r>
    </w:p>
    <w:p>
      <w:pPr>
        <w:pStyle w:val="Heading2"/>
      </w:pPr>
      <w:r>
        <w:t xml:space="preserve">RISK SUMMARY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600"/>
        <w:gridCol w:w="2600"/>
        <w:gridCol w:w="2600"/>
        <w:gridCol w:w="26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3030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Critical Risks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d6b20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High Risks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9e2e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Medium Risks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8a16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Low Risks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Total Open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[X]</w:t>
            </w:r>
          </w:p>
        </w:tc>
      </w:tr>
    </w:tbl>
    <w:p>
      <w:pPr>
        <w:pStyle w:val="Heading2"/>
        <w:spacing w:before="300"/>
      </w:pPr>
      <w:r>
        <w:t xml:space="preserve">RISK REGISTER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2000"/>
        <w:gridCol w:w="1100"/>
        <w:gridCol w:w="1100"/>
        <w:gridCol w:w="1300"/>
        <w:gridCol w:w="2200"/>
        <w:gridCol w:w="24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Risk Description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Mitigation Plan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 / Due Date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TR-001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Single IdP with no failover creates authentication SPOF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Concentration Risk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Critical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303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CRITICAL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Implement secondary IdP with quarterly failover testing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[Name] / Q2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TR-002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AI fraud detection operates at L4 without documented approval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AI Governance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d6b2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Complete governance review, document approval or downgrade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[Name] / 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TR-003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Primary cloud vendor contract lacks exit rights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Vendor Lock-in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9e2e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Negotiate exit rights at next renewal (March)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[Name] / 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  <w:spacing w:before="300"/>
      </w:pPr>
      <w:r>
        <w:t xml:space="preserve">RATING GUIDE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50"/>
        <w:gridCol w:w="3250"/>
        <w:gridCol w:w="3250"/>
        <w:gridCol w:w="325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Categories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Likelihood Scale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Impact Scale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Risk Rating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• Concentration Risk
• AI Governance
• Vendor Lock-in
• Data Sovereignty
• Compliance
• Operational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High: &gt;50% chance/year
Medium: 10-50%/year
Low: &lt;10% chance/year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Critical: &gt;$10M or business-ending
High: $1M-$10M impact
Medium: $100K-$1M
Low: &lt;$100K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Critical: Immediate action
High: Address this quarter
Medium: Monitor, plan mitigation
Low: Accept or monitor</w:t>
            </w:r>
          </w:p>
        </w:tc>
      </w:tr>
    </w:tbl>
    <w:p>
      <w:pPr>
        <w:spacing w:before="200"/>
        <w:jc w:val="center"/>
      </w:pPr>
      <w:r>
        <w:rPr>
          <w:color w:val="999999"/>
          <w:sz w:val="16"/>
          <w:szCs w:val="16"/>
        </w:rPr>
        <w:t xml:space="preserve">Template from "When Clouds Fail" by Steve Oppenheim</w:t>
      </w:r>
    </w:p>
    <w:sectPr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8"/>
        <w:szCs w:val="18"/>
      </w:rPr>
      <w:t xml:space="preserve"> | Last Updated: [DATE]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8"/>
        <w:szCs w:val="18"/>
      </w:rPr>
      <w:t xml:space="preserve">Technology Risk Register — [COMPANY]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60"/>
      <w:jc w:val="center"/>
    </w:pPr>
    <w:rPr>
      <w:rFonts w:ascii="Arial" w:cs="Arial" w:eastAsia="Arial" w:hAnsi="Arial"/>
      <w:b/>
      <w:bCs/>
      <w:color w:val="1a365d"/>
      <w:sz w:val="40"/>
      <w:szCs w:val="40"/>
    </w:rPr>
  </w:style>
  <w:style w:type="paragraph" w:styleId="Heading1">
    <w:name w:val="Heading 1"/>
    <w:basedOn w:val="Normal"/>
    <w:next w:val="Normal"/>
    <w:pPr>
      <w:spacing w:before="280" w:after="120"/>
    </w:pPr>
    <w:rPr>
      <w:rFonts w:ascii="Arial" w:cs="Arial" w:eastAsia="Arial" w:hAnsi="Arial"/>
      <w:b/>
      <w:bCs/>
      <w:color w:val="1a365d"/>
      <w:sz w:val="26"/>
      <w:szCs w:val="26"/>
    </w:rPr>
  </w:style>
  <w:style w:type="paragraph" w:styleId="Heading2">
    <w:name w:val="Heading 2"/>
    <w:basedOn w:val="Normal"/>
    <w:next w:val="Normal"/>
    <w:pPr>
      <w:spacing w:before="200" w:after="100"/>
    </w:pPr>
    <w:rPr>
      <w:rFonts w:ascii="Arial" w:cs="Arial" w:eastAsia="Arial" w:hAnsi="Arial"/>
      <w:b/>
      <w:bCs/>
      <w:color w:val="2d374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2025-12-25T15:57:33.719Z</dcterms:created>
  <dcterms:modified xsi:type="dcterms:W3CDTF">2025-12-25T15:57:33.720Z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