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BA5B" w14:textId="77777777" w:rsidR="009B6894" w:rsidRDefault="00932285">
      <w:pPr>
        <w:pStyle w:val="Title"/>
      </w:pPr>
      <w:r>
        <w:t>SAMPLE VENDOR CONTRACT CLAUSES</w:t>
      </w:r>
    </w:p>
    <w:p w14:paraId="7A13FA10" w14:textId="77777777" w:rsidR="009B6894" w:rsidRDefault="00932285">
      <w:pPr>
        <w:spacing w:after="120"/>
        <w:jc w:val="center"/>
      </w:pPr>
      <w:r>
        <w:rPr>
          <w:i/>
          <w:iCs/>
          <w:color w:val="4A5568"/>
          <w:sz w:val="24"/>
          <w:szCs w:val="24"/>
        </w:rPr>
        <w:t>For Cloud Sovereignty &amp; Operational Resilience</w:t>
      </w:r>
    </w:p>
    <w:p w14:paraId="6B6D432D" w14:textId="0E391B2E" w:rsidR="009B6894" w:rsidRDefault="00932285">
      <w:pPr>
        <w:spacing w:after="400"/>
        <w:jc w:val="center"/>
      </w:pPr>
      <w:r>
        <w:rPr>
          <w:color w:val="718096"/>
          <w:sz w:val="20"/>
          <w:szCs w:val="20"/>
        </w:rPr>
        <w:t>Companion Resource to "When Clouds Fail</w:t>
      </w:r>
      <w:r>
        <w:rPr>
          <w:color w:val="718096"/>
          <w:sz w:val="20"/>
          <w:szCs w:val="20"/>
        </w:rPr>
        <w:t>" by Steve Oppenheim</w:t>
      </w:r>
    </w:p>
    <w:p w14:paraId="59B70FDB" w14:textId="77777777" w:rsidR="009B6894" w:rsidRDefault="00932285">
      <w:pPr>
        <w:shd w:val="clear" w:color="auto" w:fill="FFF3CD"/>
        <w:spacing w:after="300"/>
      </w:pPr>
      <w:r>
        <w:rPr>
          <w:b/>
          <w:bCs/>
        </w:rPr>
        <w:t xml:space="preserve">DISCLAIMER: </w:t>
      </w:r>
      <w:r>
        <w:t>These sample clauses are provided for educational purposes only and should be reviewed by qualified legal counsel before use. They do not constitute legal advice.</w:t>
      </w:r>
    </w:p>
    <w:p w14:paraId="5EE81DCC" w14:textId="77777777" w:rsidR="009B6894" w:rsidRDefault="00932285">
      <w:pPr>
        <w:pStyle w:val="Heading1"/>
      </w:pPr>
      <w:r>
        <w:t>1. DATA SOVEREIGNTY &amp; RESIDENCY CLAUSES</w:t>
      </w:r>
    </w:p>
    <w:p w14:paraId="09CC01C4" w14:textId="77777777" w:rsidR="009B6894" w:rsidRDefault="00932285">
      <w:pPr>
        <w:pStyle w:val="Heading2"/>
      </w:pPr>
      <w:r>
        <w:t>1.1 Data Location Guarantee</w:t>
      </w:r>
    </w:p>
    <w:p w14:paraId="726C69D5" w14:textId="77777777" w:rsidR="009B6894" w:rsidRDefault="00932285">
      <w:pPr>
        <w:shd w:val="clear" w:color="auto" w:fill="F7FAFC"/>
        <w:spacing w:after="200"/>
      </w:pPr>
      <w:r>
        <w:rPr>
          <w:i/>
          <w:iCs/>
        </w:rPr>
        <w:t>"Provider shall store, process, and maintain all Customer Data exclusively within data centers located in [SPECIFIED COUNTRIES/REGIONS]. Provider shall not transfer, access, or process Customer Data from any location outside these designated regions without prior written consent from Customer. Provider shall maintain a current list of all data center locations and provide updates within 30 days of any changes."</w:t>
      </w:r>
    </w:p>
    <w:p w14:paraId="442501F8" w14:textId="77777777" w:rsidR="009B6894" w:rsidRDefault="00932285">
      <w:pPr>
        <w:pStyle w:val="Heading2"/>
      </w:pPr>
      <w:r>
        <w:t>1.2 Data Portability Rights</w:t>
      </w:r>
    </w:p>
    <w:p w14:paraId="5AC96F05" w14:textId="77777777" w:rsidR="009B6894" w:rsidRDefault="00932285">
      <w:pPr>
        <w:shd w:val="clear" w:color="auto" w:fill="F7FAFC"/>
        <w:spacing w:after="200"/>
      </w:pPr>
      <w:r>
        <w:rPr>
          <w:i/>
          <w:iCs/>
        </w:rPr>
        <w:t>"Upon request, Provider shall export all Customer Data in industry-standard, machine-readable formats (including but not limited to JSON, CSV, XML, or SQL) within [30/60/90] days. Provider shall not charge additional fees for data export requests made up to [quarterly/annually]. Customer retains full ownership of all data and metadata throughout the contract term and after termination."</w:t>
      </w:r>
    </w:p>
    <w:p w14:paraId="7CB4EA2E" w14:textId="77777777" w:rsidR="009B6894" w:rsidRDefault="00932285">
      <w:pPr>
        <w:pStyle w:val="Heading2"/>
      </w:pPr>
      <w:r>
        <w:t xml:space="preserve">1.3 </w:t>
      </w:r>
      <w:proofErr w:type="spellStart"/>
      <w:r>
        <w:t>Subprocessor</w:t>
      </w:r>
      <w:proofErr w:type="spellEnd"/>
      <w:r>
        <w:t xml:space="preserve"> Restrictions</w:t>
      </w:r>
    </w:p>
    <w:p w14:paraId="4388DEF9" w14:textId="77777777" w:rsidR="009B6894" w:rsidRDefault="00932285">
      <w:pPr>
        <w:shd w:val="clear" w:color="auto" w:fill="F7FAFC"/>
        <w:spacing w:after="200"/>
      </w:pPr>
      <w:r>
        <w:rPr>
          <w:i/>
          <w:iCs/>
        </w:rPr>
        <w:t xml:space="preserve">"Provider shall maintain a list of all </w:t>
      </w:r>
      <w:proofErr w:type="spellStart"/>
      <w:r>
        <w:rPr>
          <w:i/>
          <w:iCs/>
        </w:rPr>
        <w:t>subprocessors</w:t>
      </w:r>
      <w:proofErr w:type="spellEnd"/>
      <w:r>
        <w:rPr>
          <w:i/>
          <w:iCs/>
        </w:rPr>
        <w:t xml:space="preserve"> who may access Customer Data. Provider shall notify Customer at least [30/60] days before engaging any new </w:t>
      </w:r>
      <w:proofErr w:type="spellStart"/>
      <w:r>
        <w:rPr>
          <w:i/>
          <w:iCs/>
        </w:rPr>
        <w:t>subprocessor</w:t>
      </w:r>
      <w:proofErr w:type="spellEnd"/>
      <w:r>
        <w:rPr>
          <w:i/>
          <w:iCs/>
        </w:rPr>
        <w:t xml:space="preserve"> and shall obtain Customer's written approval before any </w:t>
      </w:r>
      <w:proofErr w:type="spellStart"/>
      <w:r>
        <w:rPr>
          <w:i/>
          <w:iCs/>
        </w:rPr>
        <w:t>subprocessor</w:t>
      </w:r>
      <w:proofErr w:type="spellEnd"/>
      <w:r>
        <w:rPr>
          <w:i/>
          <w:iCs/>
        </w:rPr>
        <w:t xml:space="preserve"> processes Customer Data. Customer may object to any </w:t>
      </w:r>
      <w:proofErr w:type="spellStart"/>
      <w:r>
        <w:rPr>
          <w:i/>
          <w:iCs/>
        </w:rPr>
        <w:t>subprocessor</w:t>
      </w:r>
      <w:proofErr w:type="spellEnd"/>
      <w:r>
        <w:rPr>
          <w:i/>
          <w:iCs/>
        </w:rPr>
        <w:t>, and Provider shall provide alternative arrangements at no additional cost."</w:t>
      </w:r>
    </w:p>
    <w:p w14:paraId="74DEBE76" w14:textId="77777777" w:rsidR="009B6894" w:rsidRDefault="00932285">
      <w:pPr>
        <w:pStyle w:val="Heading1"/>
      </w:pPr>
      <w:r>
        <w:t>2. SERVICE CONTINUITY &amp; AVAILABILITY</w:t>
      </w:r>
    </w:p>
    <w:p w14:paraId="203DA410" w14:textId="77777777" w:rsidR="009B6894" w:rsidRDefault="00932285">
      <w:pPr>
        <w:pStyle w:val="Heading2"/>
      </w:pPr>
      <w:r>
        <w:t>2.1 Uptime Commitment</w:t>
      </w:r>
    </w:p>
    <w:p w14:paraId="77CBC291" w14:textId="77777777" w:rsidR="009B6894" w:rsidRDefault="00932285">
      <w:pPr>
        <w:shd w:val="clear" w:color="auto" w:fill="F7FAFC"/>
        <w:spacing w:after="200"/>
      </w:pPr>
      <w:r>
        <w:rPr>
          <w:i/>
          <w:iCs/>
        </w:rPr>
        <w:t>"Provider guarantees [99.9%/99.95%/99.99%] monthly uptime for all Production Services, excluding scheduled maintenance windows. For each [0.1%] below the guaranteed uptime, Customer shall receive service credits equal to [10%/15%/20%] of monthly fees, up to a maximum of [100%] of monthly fees. Service credits shall be applied automatically to the following invoice without requiring Customer request."</w:t>
      </w:r>
    </w:p>
    <w:p w14:paraId="5EF41CD3" w14:textId="77777777" w:rsidR="009B6894" w:rsidRDefault="00932285">
      <w:pPr>
        <w:pStyle w:val="Heading2"/>
      </w:pPr>
      <w:r>
        <w:t>2.2 Scheduled Maintenance Windows</w:t>
      </w:r>
    </w:p>
    <w:p w14:paraId="5602B713" w14:textId="77777777" w:rsidR="009B6894" w:rsidRDefault="00932285">
      <w:pPr>
        <w:shd w:val="clear" w:color="auto" w:fill="F7FAFC"/>
        <w:spacing w:after="200"/>
      </w:pPr>
      <w:r>
        <w:rPr>
          <w:i/>
          <w:iCs/>
        </w:rPr>
        <w:t>"Provider shall provide at least [72 hours/7 days/14 days] advance written notice for scheduled maintenance that may affect service availability. Scheduled maintenance shall occur only during [specified hours, e.g., Saturday 2:00 AM - 6:00 AM EST]. Emergency maintenance affecting service availability shall be communicated within [1 hour] of commencement with estimated resolution time."</w:t>
      </w:r>
    </w:p>
    <w:p w14:paraId="4136275F" w14:textId="77777777" w:rsidR="009B6894" w:rsidRDefault="00932285">
      <w:pPr>
        <w:pStyle w:val="Heading2"/>
      </w:pPr>
      <w:r>
        <w:t>2.3 Disaster Recovery Requirements</w:t>
      </w:r>
    </w:p>
    <w:p w14:paraId="55914EB0" w14:textId="77777777" w:rsidR="009B6894" w:rsidRDefault="00932285">
      <w:pPr>
        <w:shd w:val="clear" w:color="auto" w:fill="F7FAFC"/>
        <w:spacing w:after="200"/>
      </w:pPr>
      <w:r>
        <w:rPr>
          <w:i/>
          <w:iCs/>
        </w:rPr>
        <w:lastRenderedPageBreak/>
        <w:t>"Provider shall maintain disaster recovery capabilities with: (a) Recovery Point Objective (RPO) of no more than [1 hour/4 hours/24 hours]; (b) Recovery Time Objective (RTO) of no more than [4 hours/8 hours/24 hours]; (c) Geographically separated backup facilities at least [100/250/500] miles from primary data center; (d) Annual disaster recovery testing with results shared with Customer within [30] days of each test."</w:t>
      </w:r>
    </w:p>
    <w:p w14:paraId="42849459" w14:textId="77777777" w:rsidR="009B6894" w:rsidRDefault="00932285">
      <w:r>
        <w:br w:type="page"/>
      </w:r>
    </w:p>
    <w:p w14:paraId="733BEF13" w14:textId="77777777" w:rsidR="009B6894" w:rsidRDefault="00932285">
      <w:pPr>
        <w:pStyle w:val="Heading1"/>
      </w:pPr>
      <w:r>
        <w:lastRenderedPageBreak/>
        <w:t>3. EXIT &amp; TRANSITION RIGHTS</w:t>
      </w:r>
    </w:p>
    <w:p w14:paraId="5D4F9673" w14:textId="77777777" w:rsidR="009B6894" w:rsidRDefault="00932285">
      <w:pPr>
        <w:pStyle w:val="Heading2"/>
      </w:pPr>
      <w:r>
        <w:t>3.1 Termination Assistance</w:t>
      </w:r>
    </w:p>
    <w:p w14:paraId="514B9F01" w14:textId="77777777" w:rsidR="009B6894" w:rsidRDefault="00932285">
      <w:pPr>
        <w:shd w:val="clear" w:color="auto" w:fill="F7FAFC"/>
        <w:spacing w:after="200"/>
      </w:pPr>
      <w:r>
        <w:rPr>
          <w:i/>
          <w:iCs/>
        </w:rPr>
        <w:t>"Upon termination or expiration of this Agreement, Provider shall provide transition assistance services for a period of [90/180] days at then-current rates (or rates specified in Exhibit [X]). Transition assistance shall include: (a) continued access to services during transition period; (b) data export in Customer-specified formats; (c) technical consultation up to [40] hours; (d) documentation of all APIs, data schemas, and integration points."</w:t>
      </w:r>
    </w:p>
    <w:p w14:paraId="5D1FD269" w14:textId="77777777" w:rsidR="009B6894" w:rsidRDefault="00932285">
      <w:pPr>
        <w:pStyle w:val="Heading2"/>
      </w:pPr>
      <w:r>
        <w:t>3.2 Data Return &amp; Destruction</w:t>
      </w:r>
    </w:p>
    <w:p w14:paraId="28D7F950" w14:textId="77777777" w:rsidR="009B6894" w:rsidRDefault="00932285">
      <w:pPr>
        <w:shd w:val="clear" w:color="auto" w:fill="F7FAFC"/>
        <w:spacing w:after="200"/>
      </w:pPr>
      <w:r>
        <w:rPr>
          <w:i/>
          <w:iCs/>
        </w:rPr>
        <w:t>"Within [30] days of contract termination, Provider shall: (a) return all Customer Data in requested format; (b) certify in writing the complete destruction of all Customer Data from Provider systems, including backup systems; (c) provide written confirmation that no copies of Customer Data remain in Provider's possession. Provider shall use NIST SP 800-88 compliant data destruction methods."</w:t>
      </w:r>
    </w:p>
    <w:p w14:paraId="00842C83" w14:textId="77777777" w:rsidR="009B6894" w:rsidRDefault="00932285">
      <w:pPr>
        <w:pStyle w:val="Heading2"/>
      </w:pPr>
      <w:r>
        <w:t>3.3 Termination for Convenience</w:t>
      </w:r>
    </w:p>
    <w:p w14:paraId="69AC44C6" w14:textId="77777777" w:rsidR="009B6894" w:rsidRDefault="00932285">
      <w:pPr>
        <w:shd w:val="clear" w:color="auto" w:fill="F7FAFC"/>
        <w:spacing w:after="200"/>
      </w:pPr>
      <w:r>
        <w:rPr>
          <w:i/>
          <w:iCs/>
        </w:rPr>
        <w:t>"Customer may terminate this Agreement for convenience upon [60/90] days written notice. Upon termination for convenience, Customer shall pay: (a) all fees for services rendered through termination date; (b) any applicable early termination fees as specified in Exhibit [X], not to exceed [3/6/12] months of service fees. Provider shall not impose any additional fees, penalties, or conditions on Customer's right to terminate."</w:t>
      </w:r>
    </w:p>
    <w:p w14:paraId="10D76010" w14:textId="77777777" w:rsidR="009B6894" w:rsidRDefault="00932285">
      <w:pPr>
        <w:pStyle w:val="Heading1"/>
      </w:pPr>
      <w:r>
        <w:t>4. AI &amp; AUTOMATION GOVERNANCE</w:t>
      </w:r>
    </w:p>
    <w:p w14:paraId="318CF59E" w14:textId="77777777" w:rsidR="009B6894" w:rsidRDefault="00932285">
      <w:pPr>
        <w:pStyle w:val="Heading2"/>
      </w:pPr>
      <w:r>
        <w:t>4.1 AI Model Transparency</w:t>
      </w:r>
    </w:p>
    <w:p w14:paraId="07B783E5" w14:textId="77777777" w:rsidR="009B6894" w:rsidRDefault="00932285">
      <w:pPr>
        <w:shd w:val="clear" w:color="auto" w:fill="F7FAFC"/>
        <w:spacing w:after="200"/>
      </w:pPr>
      <w:r>
        <w:rPr>
          <w:i/>
          <w:iCs/>
        </w:rPr>
        <w:t>"Provider shall disclose: (a) all AI/ML models used in processing Customer Data; (b) the purpose and function of each model; (c) training data sources and any use of Customer Data for model training; (d) model version changes with at least [30] days advance notice. Customer Data shall not be used for AI model training without explicit written consent, which may be withdrawn at any time."</w:t>
      </w:r>
    </w:p>
    <w:p w14:paraId="264BA556" w14:textId="77777777" w:rsidR="009B6894" w:rsidRDefault="00932285">
      <w:pPr>
        <w:pStyle w:val="Heading2"/>
      </w:pPr>
      <w:r>
        <w:t>4.2 Automated Decision Limitations</w:t>
      </w:r>
    </w:p>
    <w:p w14:paraId="3F12901C" w14:textId="77777777" w:rsidR="009B6894" w:rsidRDefault="00932285">
      <w:pPr>
        <w:shd w:val="clear" w:color="auto" w:fill="F7FAFC"/>
        <w:spacing w:after="200"/>
      </w:pPr>
      <w:r>
        <w:rPr>
          <w:i/>
          <w:iCs/>
        </w:rPr>
        <w:t>"No automated decision made by Provider's systems shall have material effect on Customer's operations, customers, or employees without: (a) human review option for all consequential decisions; (b) explanation of decision factors upon request; (c) documented appeal/override process. Provider shall maintain audit logs of all automated decisions affecting Customer Data for a minimum of [3/5/7] years."</w:t>
      </w:r>
    </w:p>
    <w:p w14:paraId="462F6108" w14:textId="77777777" w:rsidR="009B6894" w:rsidRDefault="00932285">
      <w:pPr>
        <w:pStyle w:val="Heading2"/>
      </w:pPr>
      <w:r>
        <w:t>4.3 Algorithm Audit Rights</w:t>
      </w:r>
    </w:p>
    <w:p w14:paraId="22AA4819" w14:textId="77777777" w:rsidR="009B6894" w:rsidRDefault="00932285">
      <w:pPr>
        <w:shd w:val="clear" w:color="auto" w:fill="F7FAFC"/>
        <w:spacing w:after="200"/>
      </w:pPr>
      <w:r>
        <w:rPr>
          <w:i/>
          <w:iCs/>
        </w:rPr>
        <w:t>"Customer shall have the right to audit, or engage a qualified third party to audit, any algorithms, AI models, or automated processes that affect Customer Data or services. Provider shall cooperate with such audits, providing access to relevant documentation, personnel, and systems within [30] days of audit request. Audit costs shall be borne by [Customer/Provider/shared equally]."</w:t>
      </w:r>
    </w:p>
    <w:p w14:paraId="799CB8E7" w14:textId="77777777" w:rsidR="009B6894" w:rsidRDefault="00932285">
      <w:r>
        <w:br w:type="page"/>
      </w:r>
    </w:p>
    <w:p w14:paraId="0C6E5D3F" w14:textId="77777777" w:rsidR="009B6894" w:rsidRDefault="00932285">
      <w:pPr>
        <w:pStyle w:val="Heading1"/>
      </w:pPr>
      <w:r>
        <w:lastRenderedPageBreak/>
        <w:t>5. SECURITY &amp; COMPLIANCE</w:t>
      </w:r>
    </w:p>
    <w:p w14:paraId="00FBFFF3" w14:textId="77777777" w:rsidR="009B6894" w:rsidRDefault="00932285">
      <w:pPr>
        <w:pStyle w:val="Heading2"/>
      </w:pPr>
      <w:r>
        <w:t>5.1 Security Standards</w:t>
      </w:r>
    </w:p>
    <w:p w14:paraId="5E96BA62" w14:textId="77777777" w:rsidR="009B6894" w:rsidRDefault="00932285">
      <w:pPr>
        <w:shd w:val="clear" w:color="auto" w:fill="F7FAFC"/>
        <w:spacing w:after="200"/>
      </w:pPr>
      <w:r>
        <w:rPr>
          <w:i/>
          <w:iCs/>
        </w:rPr>
        <w:t>"Provider shall maintain security certifications including [SOC 2 Type II / ISO 27001 / FedRAMP / PCI-DSS] throughout the contract term. Provider shall notify Customer within [72 hours] if any certification lapses or is revoked. Provider shall provide copies of current audit reports and certifications within [10] business days of Customer request."</w:t>
      </w:r>
    </w:p>
    <w:p w14:paraId="577928C7" w14:textId="77777777" w:rsidR="009B6894" w:rsidRDefault="00932285">
      <w:pPr>
        <w:pStyle w:val="Heading2"/>
      </w:pPr>
      <w:r>
        <w:t>5.2 Breach Notification</w:t>
      </w:r>
    </w:p>
    <w:p w14:paraId="5E1E442A" w14:textId="77777777" w:rsidR="009B6894" w:rsidRDefault="00932285">
      <w:pPr>
        <w:shd w:val="clear" w:color="auto" w:fill="F7FAFC"/>
        <w:spacing w:after="200"/>
      </w:pPr>
      <w:r>
        <w:rPr>
          <w:i/>
          <w:iCs/>
        </w:rPr>
        <w:t>"Provider shall notify Customer of any Security Incident affecting Customer Data within [24/48/72] hours of discovery. Notification shall include: (a) nature and scope of incident; (b) types of data affected; (c) remediation steps taken and planned; (d) designated point of contact. Provider shall bear all costs associated with breach notification, credit monitoring, and remediation for incidents caused by Provider's negligence."</w:t>
      </w:r>
    </w:p>
    <w:p w14:paraId="4A29F259" w14:textId="77777777" w:rsidR="009B6894" w:rsidRDefault="00932285">
      <w:pPr>
        <w:pStyle w:val="Heading2"/>
      </w:pPr>
      <w:r>
        <w:t>5.3 Penetration Testing Rights</w:t>
      </w:r>
    </w:p>
    <w:p w14:paraId="46431A2C" w14:textId="77777777" w:rsidR="009B6894" w:rsidRDefault="00932285">
      <w:pPr>
        <w:shd w:val="clear" w:color="auto" w:fill="F7FAFC"/>
        <w:spacing w:after="200"/>
      </w:pPr>
      <w:r>
        <w:rPr>
          <w:i/>
          <w:iCs/>
        </w:rPr>
        <w:t>"Customer shall have the right to conduct, or engage qualified third parties to conduct, penetration testing of Provider systems that store or process Customer Data. Testing shall be conducted [annually/semi-annually] with [14/30] days advance notice. Provider shall remediate Critical and High severity findings within [30/60] days and Medium findings within [90] days."</w:t>
      </w:r>
    </w:p>
    <w:p w14:paraId="174FDBA9" w14:textId="77777777" w:rsidR="009B6894" w:rsidRDefault="00932285">
      <w:pPr>
        <w:pStyle w:val="Heading1"/>
      </w:pPr>
      <w:r>
        <w:t>6. COMMERCIAL PROTECTIONS</w:t>
      </w:r>
    </w:p>
    <w:p w14:paraId="6DAA956B" w14:textId="77777777" w:rsidR="009B6894" w:rsidRDefault="00932285">
      <w:pPr>
        <w:pStyle w:val="Heading2"/>
      </w:pPr>
      <w:r>
        <w:t>6.1 Price Protection</w:t>
      </w:r>
    </w:p>
    <w:p w14:paraId="44331E76" w14:textId="77777777" w:rsidR="009B6894" w:rsidRDefault="00932285">
      <w:pPr>
        <w:shd w:val="clear" w:color="auto" w:fill="F7FAFC"/>
        <w:spacing w:after="200"/>
      </w:pPr>
      <w:r>
        <w:rPr>
          <w:i/>
          <w:iCs/>
        </w:rPr>
        <w:t>"Fees shall remain fixed for the initial [12/24/36] month term. Any fee increases upon renewal shall not exceed [3%/5%/CPI] annually and shall be communicated at least [90] days before renewal date. Customer shall have the right to terminate without penalty if proposed fee increase exceeds [10%] in any single year."</w:t>
      </w:r>
    </w:p>
    <w:p w14:paraId="7824609E" w14:textId="77777777" w:rsidR="009B6894" w:rsidRDefault="00932285">
      <w:pPr>
        <w:pStyle w:val="Heading2"/>
      </w:pPr>
      <w:r>
        <w:t>6.2 Most Favored Customer</w:t>
      </w:r>
    </w:p>
    <w:p w14:paraId="269B7FBE" w14:textId="77777777" w:rsidR="009B6894" w:rsidRDefault="00932285">
      <w:pPr>
        <w:shd w:val="clear" w:color="auto" w:fill="F7FAFC"/>
        <w:spacing w:after="200"/>
      </w:pPr>
      <w:r>
        <w:rPr>
          <w:i/>
          <w:iCs/>
        </w:rPr>
        <w:t>"Provider warrants that the pricing and terms offered to Customer are no less favorable than those offered to any other customer of similar size and usage profile. If Provider offers more favorable terms to a comparable customer, Provider shall promptly offer the same terms to Customer."</w:t>
      </w:r>
    </w:p>
    <w:p w14:paraId="368056B1" w14:textId="77777777" w:rsidR="009B6894" w:rsidRDefault="00932285">
      <w:pPr>
        <w:pStyle w:val="Heading2"/>
      </w:pPr>
      <w:r>
        <w:t>6.3 Liability &amp; Indemnification</w:t>
      </w:r>
    </w:p>
    <w:p w14:paraId="748AA6C1" w14:textId="77777777" w:rsidR="009B6894" w:rsidRDefault="00932285">
      <w:pPr>
        <w:shd w:val="clear" w:color="auto" w:fill="F7FAFC"/>
        <w:spacing w:after="200"/>
      </w:pPr>
      <w:r>
        <w:rPr>
          <w:i/>
          <w:iCs/>
        </w:rPr>
        <w:t>"Provider's liability cap shall be no less than [12/24/36] months of fees paid or payable under this Agreement. This cap shall not apply to: (a) Provider's indemnification obligations; (b) breaches of confidentiality; (c) gross negligence or willful misconduct; (d) security breaches caused by Provider's failure to maintain required security standards."</w:t>
      </w:r>
    </w:p>
    <w:p w14:paraId="062C2DE2" w14:textId="77777777" w:rsidR="009B6894" w:rsidRDefault="00932285">
      <w:r>
        <w:br w:type="page"/>
      </w:r>
    </w:p>
    <w:p w14:paraId="67E8DCA3" w14:textId="77777777" w:rsidR="009B6894" w:rsidRDefault="00932285">
      <w:pPr>
        <w:pStyle w:val="Heading1"/>
      </w:pPr>
      <w:r>
        <w:lastRenderedPageBreak/>
        <w:t>USAGE GUIDANCE</w:t>
      </w:r>
    </w:p>
    <w:p w14:paraId="6B65597D" w14:textId="77777777" w:rsidR="009B6894" w:rsidRDefault="00932285">
      <w:pPr>
        <w:spacing w:after="120"/>
      </w:pPr>
      <w:r>
        <w:rPr>
          <w:b/>
          <w:bCs/>
        </w:rPr>
        <w:t>Negotiation Priority Matrix:</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0"/>
        <w:gridCol w:w="3483"/>
        <w:gridCol w:w="3639"/>
      </w:tblGrid>
      <w:tr w:rsidR="009B6894" w14:paraId="74D39D4F" w14:textId="77777777">
        <w:tblPrEx>
          <w:tblCellMar>
            <w:top w:w="0" w:type="dxa"/>
            <w:bottom w:w="0" w:type="dxa"/>
          </w:tblCellMar>
        </w:tblPrEx>
        <w:trPr>
          <w:tblHeader/>
        </w:trPr>
        <w:tc>
          <w:tcPr>
            <w:tcW w:w="2200" w:type="dxa"/>
            <w:tcBorders>
              <w:top w:val="single" w:sz="1" w:space="0" w:color="999999"/>
              <w:left w:val="single" w:sz="1" w:space="0" w:color="999999"/>
              <w:bottom w:val="single" w:sz="1" w:space="0" w:color="999999"/>
              <w:right w:val="single" w:sz="1" w:space="0" w:color="999999"/>
            </w:tcBorders>
            <w:shd w:val="clear" w:color="auto" w:fill="1A365D"/>
          </w:tcPr>
          <w:p w14:paraId="2A270F6A" w14:textId="77777777" w:rsidR="009B6894" w:rsidRDefault="00932285">
            <w:r>
              <w:rPr>
                <w:b/>
                <w:bCs/>
                <w:color w:val="FFFFFF"/>
              </w:rPr>
              <w:t>Priority</w:t>
            </w:r>
          </w:p>
        </w:tc>
        <w:tc>
          <w:tcPr>
            <w:tcW w:w="3500" w:type="dxa"/>
            <w:tcBorders>
              <w:top w:val="single" w:sz="1" w:space="0" w:color="999999"/>
              <w:left w:val="single" w:sz="1" w:space="0" w:color="999999"/>
              <w:bottom w:val="single" w:sz="1" w:space="0" w:color="999999"/>
              <w:right w:val="single" w:sz="1" w:space="0" w:color="999999"/>
            </w:tcBorders>
            <w:shd w:val="clear" w:color="auto" w:fill="1A365D"/>
          </w:tcPr>
          <w:p w14:paraId="37872ADA" w14:textId="77777777" w:rsidR="009B6894" w:rsidRDefault="00932285">
            <w:r>
              <w:rPr>
                <w:b/>
                <w:bCs/>
                <w:color w:val="FFFFFF"/>
              </w:rPr>
              <w:t>Clauses</w:t>
            </w:r>
          </w:p>
        </w:tc>
        <w:tc>
          <w:tcPr>
            <w:tcW w:w="3660" w:type="dxa"/>
            <w:tcBorders>
              <w:top w:val="single" w:sz="1" w:space="0" w:color="999999"/>
              <w:left w:val="single" w:sz="1" w:space="0" w:color="999999"/>
              <w:bottom w:val="single" w:sz="1" w:space="0" w:color="999999"/>
              <w:right w:val="single" w:sz="1" w:space="0" w:color="999999"/>
            </w:tcBorders>
            <w:shd w:val="clear" w:color="auto" w:fill="1A365D"/>
          </w:tcPr>
          <w:p w14:paraId="5783C2C3" w14:textId="77777777" w:rsidR="009B6894" w:rsidRDefault="00932285">
            <w:r>
              <w:rPr>
                <w:b/>
                <w:bCs/>
                <w:color w:val="FFFFFF"/>
              </w:rPr>
              <w:t>Rationale</w:t>
            </w:r>
          </w:p>
        </w:tc>
      </w:tr>
      <w:tr w:rsidR="009B6894" w14:paraId="1AE1CE8B"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8D7DA"/>
          </w:tcPr>
          <w:p w14:paraId="7546E42B" w14:textId="77777777" w:rsidR="009B6894" w:rsidRDefault="00932285">
            <w:r>
              <w:rPr>
                <w:b/>
                <w:bCs/>
              </w:rPr>
              <w:t>CRITICAL</w:t>
            </w:r>
          </w:p>
        </w:tc>
        <w:tc>
          <w:tcPr>
            <w:tcW w:w="3500" w:type="dxa"/>
            <w:tcBorders>
              <w:top w:val="single" w:sz="1" w:space="0" w:color="999999"/>
              <w:left w:val="single" w:sz="1" w:space="0" w:color="999999"/>
              <w:bottom w:val="single" w:sz="1" w:space="0" w:color="999999"/>
              <w:right w:val="single" w:sz="1" w:space="0" w:color="999999"/>
            </w:tcBorders>
          </w:tcPr>
          <w:p w14:paraId="3BAC4B38" w14:textId="77777777" w:rsidR="009B6894" w:rsidRDefault="00932285">
            <w:r>
              <w:t>Data Portability, Exit Rights, Breach Notification</w:t>
            </w:r>
          </w:p>
        </w:tc>
        <w:tc>
          <w:tcPr>
            <w:tcW w:w="3660" w:type="dxa"/>
            <w:tcBorders>
              <w:top w:val="single" w:sz="1" w:space="0" w:color="999999"/>
              <w:left w:val="single" w:sz="1" w:space="0" w:color="999999"/>
              <w:bottom w:val="single" w:sz="1" w:space="0" w:color="999999"/>
              <w:right w:val="single" w:sz="1" w:space="0" w:color="999999"/>
            </w:tcBorders>
          </w:tcPr>
          <w:p w14:paraId="5BCE7816" w14:textId="77777777" w:rsidR="009B6894" w:rsidRDefault="00932285">
            <w:r>
              <w:t>Non-negotiable for sovereignty</w:t>
            </w:r>
          </w:p>
        </w:tc>
      </w:tr>
      <w:tr w:rsidR="009B6894" w14:paraId="493C97F4"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3CD"/>
          </w:tcPr>
          <w:p w14:paraId="63BD6936" w14:textId="77777777" w:rsidR="009B6894" w:rsidRDefault="00932285">
            <w:r>
              <w:rPr>
                <w:b/>
                <w:bCs/>
              </w:rPr>
              <w:t>HIGH</w:t>
            </w:r>
          </w:p>
        </w:tc>
        <w:tc>
          <w:tcPr>
            <w:tcW w:w="3500" w:type="dxa"/>
            <w:tcBorders>
              <w:top w:val="single" w:sz="1" w:space="0" w:color="999999"/>
              <w:left w:val="single" w:sz="1" w:space="0" w:color="999999"/>
              <w:bottom w:val="single" w:sz="1" w:space="0" w:color="999999"/>
              <w:right w:val="single" w:sz="1" w:space="0" w:color="999999"/>
            </w:tcBorders>
          </w:tcPr>
          <w:p w14:paraId="747A17BA" w14:textId="77777777" w:rsidR="009B6894" w:rsidRDefault="00932285">
            <w:r>
              <w:t>Data Location, DR Requirements, Security Standards</w:t>
            </w:r>
          </w:p>
        </w:tc>
        <w:tc>
          <w:tcPr>
            <w:tcW w:w="3660" w:type="dxa"/>
            <w:tcBorders>
              <w:top w:val="single" w:sz="1" w:space="0" w:color="999999"/>
              <w:left w:val="single" w:sz="1" w:space="0" w:color="999999"/>
              <w:bottom w:val="single" w:sz="1" w:space="0" w:color="999999"/>
              <w:right w:val="single" w:sz="1" w:space="0" w:color="999999"/>
            </w:tcBorders>
          </w:tcPr>
          <w:p w14:paraId="0AED35FB" w14:textId="77777777" w:rsidR="009B6894" w:rsidRDefault="00932285">
            <w:r>
              <w:t>Essential for regulated industries</w:t>
            </w:r>
          </w:p>
        </w:tc>
      </w:tr>
      <w:tr w:rsidR="009B6894" w14:paraId="57C8E3AA"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D4EDDA"/>
          </w:tcPr>
          <w:p w14:paraId="349E4734" w14:textId="77777777" w:rsidR="009B6894" w:rsidRDefault="00932285">
            <w:r>
              <w:rPr>
                <w:b/>
                <w:bCs/>
              </w:rPr>
              <w:t>MEDIUM</w:t>
            </w:r>
          </w:p>
        </w:tc>
        <w:tc>
          <w:tcPr>
            <w:tcW w:w="3500" w:type="dxa"/>
            <w:tcBorders>
              <w:top w:val="single" w:sz="1" w:space="0" w:color="999999"/>
              <w:left w:val="single" w:sz="1" w:space="0" w:color="999999"/>
              <w:bottom w:val="single" w:sz="1" w:space="0" w:color="999999"/>
              <w:right w:val="single" w:sz="1" w:space="0" w:color="999999"/>
            </w:tcBorders>
          </w:tcPr>
          <w:p w14:paraId="371E6E62" w14:textId="77777777" w:rsidR="009B6894" w:rsidRDefault="00932285">
            <w:r>
              <w:t>AI Transparency, Audit Rights, Price Protection</w:t>
            </w:r>
          </w:p>
        </w:tc>
        <w:tc>
          <w:tcPr>
            <w:tcW w:w="3660" w:type="dxa"/>
            <w:tcBorders>
              <w:top w:val="single" w:sz="1" w:space="0" w:color="999999"/>
              <w:left w:val="single" w:sz="1" w:space="0" w:color="999999"/>
              <w:bottom w:val="single" w:sz="1" w:space="0" w:color="999999"/>
              <w:right w:val="single" w:sz="1" w:space="0" w:color="999999"/>
            </w:tcBorders>
          </w:tcPr>
          <w:p w14:paraId="257D6CEF" w14:textId="77777777" w:rsidR="009B6894" w:rsidRDefault="00932285">
            <w:r>
              <w:t>Important for long-term control</w:t>
            </w:r>
          </w:p>
        </w:tc>
      </w:tr>
    </w:tbl>
    <w:p w14:paraId="50D2DE9A" w14:textId="77777777" w:rsidR="00932285" w:rsidRDefault="00932285"/>
    <w:sectPr w:rsidR="00000000">
      <w:headerReference w:type="default" r:id="rId7"/>
      <w:footerReference w:type="default" r:id="rId8"/>
      <w:pgSz w:w="11906" w:h="16838"/>
      <w:pgMar w:top="1296" w:right="1296" w:bottom="1296"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8A6D" w14:textId="77777777" w:rsidR="00932285" w:rsidRDefault="00932285">
      <w:r>
        <w:separator/>
      </w:r>
    </w:p>
  </w:endnote>
  <w:endnote w:type="continuationSeparator" w:id="0">
    <w:p w14:paraId="7CA1F2AA" w14:textId="77777777" w:rsidR="00932285" w:rsidRDefault="0093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B47C" w14:textId="77777777" w:rsidR="009B6894" w:rsidRDefault="0093228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04D0" w14:textId="77777777" w:rsidR="00932285" w:rsidRDefault="00932285">
      <w:r>
        <w:separator/>
      </w:r>
    </w:p>
  </w:footnote>
  <w:footnote w:type="continuationSeparator" w:id="0">
    <w:p w14:paraId="4D4FE421" w14:textId="77777777" w:rsidR="00932285" w:rsidRDefault="0093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734F" w14:textId="53E05E97" w:rsidR="009B6894" w:rsidRDefault="00932285">
    <w:pPr>
      <w:jc w:val="right"/>
    </w:pPr>
    <w:r>
      <w:rPr>
        <w:i/>
        <w:iCs/>
        <w:color w:val="666666"/>
        <w:sz w:val="18"/>
        <w:szCs w:val="18"/>
      </w:rPr>
      <w:t>When Clouds Fail</w:t>
    </w:r>
    <w:r>
      <w:rPr>
        <w:i/>
        <w:iCs/>
        <w:color w:val="666666"/>
        <w:sz w:val="18"/>
        <w:szCs w:val="18"/>
      </w:rPr>
      <w:t xml:space="preserve"> — Vendor Contract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7F2B"/>
    <w:multiLevelType w:val="hybridMultilevel"/>
    <w:tmpl w:val="9970FF5E"/>
    <w:lvl w:ilvl="0" w:tplc="6540D4DE">
      <w:start w:val="1"/>
      <w:numFmt w:val="bullet"/>
      <w:lvlText w:val="●"/>
      <w:lvlJc w:val="left"/>
      <w:pPr>
        <w:ind w:left="720" w:hanging="360"/>
      </w:pPr>
    </w:lvl>
    <w:lvl w:ilvl="1" w:tplc="F0905122">
      <w:start w:val="1"/>
      <w:numFmt w:val="bullet"/>
      <w:lvlText w:val="○"/>
      <w:lvlJc w:val="left"/>
      <w:pPr>
        <w:ind w:left="1440" w:hanging="360"/>
      </w:pPr>
    </w:lvl>
    <w:lvl w:ilvl="2" w:tplc="F4028A02">
      <w:start w:val="1"/>
      <w:numFmt w:val="bullet"/>
      <w:lvlText w:val="■"/>
      <w:lvlJc w:val="left"/>
      <w:pPr>
        <w:ind w:left="2160" w:hanging="360"/>
      </w:pPr>
    </w:lvl>
    <w:lvl w:ilvl="3" w:tplc="E9FE4548">
      <w:start w:val="1"/>
      <w:numFmt w:val="bullet"/>
      <w:lvlText w:val="●"/>
      <w:lvlJc w:val="left"/>
      <w:pPr>
        <w:ind w:left="2880" w:hanging="360"/>
      </w:pPr>
    </w:lvl>
    <w:lvl w:ilvl="4" w:tplc="52C239C4">
      <w:start w:val="1"/>
      <w:numFmt w:val="bullet"/>
      <w:lvlText w:val="○"/>
      <w:lvlJc w:val="left"/>
      <w:pPr>
        <w:ind w:left="3600" w:hanging="360"/>
      </w:pPr>
    </w:lvl>
    <w:lvl w:ilvl="5" w:tplc="95FC62FA">
      <w:start w:val="1"/>
      <w:numFmt w:val="bullet"/>
      <w:lvlText w:val="■"/>
      <w:lvlJc w:val="left"/>
      <w:pPr>
        <w:ind w:left="4320" w:hanging="360"/>
      </w:pPr>
    </w:lvl>
    <w:lvl w:ilvl="6" w:tplc="951A8688">
      <w:start w:val="1"/>
      <w:numFmt w:val="bullet"/>
      <w:lvlText w:val="●"/>
      <w:lvlJc w:val="left"/>
      <w:pPr>
        <w:ind w:left="5040" w:hanging="360"/>
      </w:pPr>
    </w:lvl>
    <w:lvl w:ilvl="7" w:tplc="B1EE83BA">
      <w:start w:val="1"/>
      <w:numFmt w:val="bullet"/>
      <w:lvlText w:val="●"/>
      <w:lvlJc w:val="left"/>
      <w:pPr>
        <w:ind w:left="5760" w:hanging="360"/>
      </w:pPr>
    </w:lvl>
    <w:lvl w:ilvl="8" w:tplc="D7BE3E78">
      <w:start w:val="1"/>
      <w:numFmt w:val="bullet"/>
      <w:lvlText w:val="●"/>
      <w:lvlJc w:val="left"/>
      <w:pPr>
        <w:ind w:left="6480" w:hanging="360"/>
      </w:pPr>
    </w:lvl>
  </w:abstractNum>
  <w:abstractNum w:abstractNumId="1" w15:restartNumberingAfterBreak="0">
    <w:nsid w:val="37F15B78"/>
    <w:multiLevelType w:val="hybridMultilevel"/>
    <w:tmpl w:val="85188D76"/>
    <w:lvl w:ilvl="0" w:tplc="7E66A13C">
      <w:start w:val="1"/>
      <w:numFmt w:val="decimal"/>
      <w:lvlText w:val="%1."/>
      <w:lvlJc w:val="left"/>
      <w:pPr>
        <w:ind w:left="720" w:hanging="360"/>
      </w:pPr>
    </w:lvl>
    <w:lvl w:ilvl="1" w:tplc="03DA0E9E">
      <w:numFmt w:val="decimal"/>
      <w:lvlText w:val=""/>
      <w:lvlJc w:val="left"/>
    </w:lvl>
    <w:lvl w:ilvl="2" w:tplc="327411E0">
      <w:numFmt w:val="decimal"/>
      <w:lvlText w:val=""/>
      <w:lvlJc w:val="left"/>
    </w:lvl>
    <w:lvl w:ilvl="3" w:tplc="13948324">
      <w:numFmt w:val="decimal"/>
      <w:lvlText w:val=""/>
      <w:lvlJc w:val="left"/>
    </w:lvl>
    <w:lvl w:ilvl="4" w:tplc="7CC04394">
      <w:numFmt w:val="decimal"/>
      <w:lvlText w:val=""/>
      <w:lvlJc w:val="left"/>
    </w:lvl>
    <w:lvl w:ilvl="5" w:tplc="F112C4FC">
      <w:numFmt w:val="decimal"/>
      <w:lvlText w:val=""/>
      <w:lvlJc w:val="left"/>
    </w:lvl>
    <w:lvl w:ilvl="6" w:tplc="70943C18">
      <w:numFmt w:val="decimal"/>
      <w:lvlText w:val=""/>
      <w:lvlJc w:val="left"/>
    </w:lvl>
    <w:lvl w:ilvl="7" w:tplc="C94E61C0">
      <w:numFmt w:val="decimal"/>
      <w:lvlText w:val=""/>
      <w:lvlJc w:val="left"/>
    </w:lvl>
    <w:lvl w:ilvl="8" w:tplc="6172DD04">
      <w:numFmt w:val="decimal"/>
      <w:lvlText w:val=""/>
      <w:lvlJc w:val="left"/>
    </w:lvl>
  </w:abstractNum>
  <w:abstractNum w:abstractNumId="2" w15:restartNumberingAfterBreak="0">
    <w:nsid w:val="414955C2"/>
    <w:multiLevelType w:val="hybridMultilevel"/>
    <w:tmpl w:val="8716D330"/>
    <w:lvl w:ilvl="0" w:tplc="7DF82742">
      <w:start w:val="1"/>
      <w:numFmt w:val="lowerLetter"/>
      <w:lvlText w:val="(%1)"/>
      <w:lvlJc w:val="left"/>
      <w:pPr>
        <w:ind w:left="1080" w:hanging="360"/>
      </w:pPr>
    </w:lvl>
    <w:lvl w:ilvl="1" w:tplc="91D66070">
      <w:numFmt w:val="decimal"/>
      <w:lvlText w:val=""/>
      <w:lvlJc w:val="left"/>
    </w:lvl>
    <w:lvl w:ilvl="2" w:tplc="FE80303C">
      <w:numFmt w:val="decimal"/>
      <w:lvlText w:val=""/>
      <w:lvlJc w:val="left"/>
    </w:lvl>
    <w:lvl w:ilvl="3" w:tplc="D70A3572">
      <w:numFmt w:val="decimal"/>
      <w:lvlText w:val=""/>
      <w:lvlJc w:val="left"/>
    </w:lvl>
    <w:lvl w:ilvl="4" w:tplc="B17C6C9E">
      <w:numFmt w:val="decimal"/>
      <w:lvlText w:val=""/>
      <w:lvlJc w:val="left"/>
    </w:lvl>
    <w:lvl w:ilvl="5" w:tplc="83720B08">
      <w:numFmt w:val="decimal"/>
      <w:lvlText w:val=""/>
      <w:lvlJc w:val="left"/>
    </w:lvl>
    <w:lvl w:ilvl="6" w:tplc="A4DC3D52">
      <w:numFmt w:val="decimal"/>
      <w:lvlText w:val=""/>
      <w:lvlJc w:val="left"/>
    </w:lvl>
    <w:lvl w:ilvl="7" w:tplc="D3FAA91C">
      <w:numFmt w:val="decimal"/>
      <w:lvlText w:val=""/>
      <w:lvlJc w:val="left"/>
    </w:lvl>
    <w:lvl w:ilvl="8" w:tplc="204EA298">
      <w:numFmt w:val="decimal"/>
      <w:lvlText w:val=""/>
      <w:lvlJc w:val="left"/>
    </w:lvl>
  </w:abstractNum>
  <w:num w:numId="1" w16cid:durableId="1156217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M7cwMTM3MzQ1NjRQ0lEKTi0uzszPAykwrAUAoPlXhSwAAAA="/>
  </w:docVars>
  <w:rsids>
    <w:rsidRoot w:val="009B6894"/>
    <w:rsid w:val="003A0751"/>
    <w:rsid w:val="00932285"/>
    <w:rsid w:val="009B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677D"/>
  <w15:docId w15:val="{ABB4194C-094B-415F-B7E6-FA3CD737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A365D"/>
      <w:sz w:val="28"/>
      <w:szCs w:val="28"/>
    </w:rPr>
  </w:style>
  <w:style w:type="paragraph" w:styleId="Heading2">
    <w:name w:val="heading 2"/>
    <w:uiPriority w:val="9"/>
    <w:unhideWhenUsed/>
    <w:qFormat/>
    <w:pPr>
      <w:spacing w:before="240" w:after="120"/>
      <w:outlineLvl w:val="1"/>
    </w:pPr>
    <w:rPr>
      <w:b/>
      <w:bCs/>
      <w:color w:val="2D374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1A365D"/>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Mr. Greatheart</cp:lastModifiedBy>
  <cp:revision>2</cp:revision>
  <dcterms:created xsi:type="dcterms:W3CDTF">2025-12-24T16:07:00Z</dcterms:created>
  <dcterms:modified xsi:type="dcterms:W3CDTF">2025-12-24T16:37:00Z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44b9663b-b205-44c8-91c0-3ed92780c800</vt:lpwstr>
  </property>
</Properties>
</file>