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architecture-decision-record-adr"/>
    <w:p>
      <w:pPr>
        <w:pStyle w:val="Heading1"/>
      </w:pPr>
      <w:r>
        <w:t xml:space="preserve">ARCHITECTURE DECISION RECORD (ADR)</w:t>
      </w:r>
    </w:p>
    <w:p>
      <w:r>
        <w:pict>
          <v:rect style="width:0;height:1.5pt" o:hralign="center" o:hrstd="t" o:hr="t"/>
        </w:pict>
      </w:r>
    </w:p>
    <w:bookmarkStart w:id="20" w:name="Xf371a47e630cb63379083c16b96f7f2c4e0924c"/>
    <w:p>
      <w:pPr>
        <w:pStyle w:val="Heading2"/>
      </w:pPr>
      <w:r>
        <w:t xml:space="preserve">ADR-2025-047: Multi-Cloud Identity Federation with Sovereign Fallback</w:t>
      </w:r>
    </w:p>
    <w:p>
      <w:pPr>
        <w:pStyle w:val="FirstParagraph"/>
      </w:pPr>
      <w:r>
        <w:rPr>
          <w:bCs/>
          <w:b/>
        </w:rPr>
        <w:t xml:space="preserve">Status:</w:t>
      </w:r>
      <w:r>
        <w:t xml:space="preserve"> </w:t>
      </w:r>
      <w:r>
        <w:t xml:space="preserve">APPROVED</w:t>
      </w:r>
      <w:r>
        <w:br/>
      </w:r>
      <w:r>
        <w:rPr>
          <w:bCs/>
          <w:b/>
        </w:rPr>
        <w:t xml:space="preserve">Decision Date:</w:t>
      </w:r>
      <w:r>
        <w:t xml:space="preserve"> </w:t>
      </w:r>
      <w:r>
        <w:t xml:space="preserve">November 15, 2025</w:t>
      </w:r>
      <w:r>
        <w:br/>
      </w:r>
      <w:r>
        <w:rPr>
          <w:bCs/>
          <w:b/>
        </w:rPr>
        <w:t xml:space="preserve">Effective Date:</w:t>
      </w:r>
      <w:r>
        <w:t xml:space="preserve"> </w:t>
      </w:r>
      <w:r>
        <w:t xml:space="preserve">December 1, 2025</w:t>
      </w:r>
    </w:p>
    <w:p>
      <w:r>
        <w:pict>
          <v:rect style="width:0;height:1.5pt" o:hralign="center" o:hrstd="t" o:hr="t"/>
        </w:pict>
      </w:r>
    </w:p>
    <w:bookmarkEnd w:id="20"/>
    <w:bookmarkStart w:id="21" w:name="metadata"/>
    <w:p>
      <w:pPr>
        <w:pStyle w:val="Heading2"/>
      </w:pPr>
      <w:r>
        <w:t xml:space="preserve">METADATA</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Value</w:t>
            </w:r>
          </w:p>
        </w:tc>
      </w:tr>
      <w:tr>
        <w:tc>
          <w:tcPr/>
          <w:p>
            <w:pPr>
              <w:pStyle w:val="Compact"/>
              <w:jc w:val="left"/>
            </w:pPr>
            <w:r>
              <w:rPr>
                <w:bCs/>
                <w:b/>
              </w:rPr>
              <w:t xml:space="preserve">ADR Number</w:t>
            </w:r>
          </w:p>
        </w:tc>
        <w:tc>
          <w:tcPr/>
          <w:p>
            <w:pPr>
              <w:pStyle w:val="Compact"/>
              <w:jc w:val="left"/>
            </w:pPr>
            <w:r>
              <w:t xml:space="preserve">ADR-2025-047</w:t>
            </w:r>
          </w:p>
        </w:tc>
      </w:tr>
      <w:tr>
        <w:tc>
          <w:tcPr/>
          <w:p>
            <w:pPr>
              <w:pStyle w:val="Compact"/>
              <w:jc w:val="left"/>
            </w:pPr>
            <w:r>
              <w:rPr>
                <w:bCs/>
                <w:b/>
              </w:rPr>
              <w:t xml:space="preserve">Title</w:t>
            </w:r>
          </w:p>
        </w:tc>
        <w:tc>
          <w:tcPr/>
          <w:p>
            <w:pPr>
              <w:pStyle w:val="Compact"/>
              <w:jc w:val="left"/>
            </w:pPr>
            <w:r>
              <w:t xml:space="preserve">Multi-Cloud Identity Federation with Sovereign Fallback</w:t>
            </w:r>
          </w:p>
        </w:tc>
      </w:tr>
      <w:tr>
        <w:tc>
          <w:tcPr/>
          <w:p>
            <w:pPr>
              <w:pStyle w:val="Compact"/>
              <w:jc w:val="left"/>
            </w:pPr>
            <w:r>
              <w:rPr>
                <w:bCs/>
                <w:b/>
              </w:rPr>
              <w:t xml:space="preserve">Domain</w:t>
            </w:r>
          </w:p>
        </w:tc>
        <w:tc>
          <w:tcPr/>
          <w:p>
            <w:pPr>
              <w:pStyle w:val="Compact"/>
              <w:jc w:val="left"/>
            </w:pPr>
            <w:r>
              <w:t xml:space="preserve">Identity &amp; Access Management</w:t>
            </w:r>
          </w:p>
        </w:tc>
      </w:tr>
      <w:tr>
        <w:tc>
          <w:tcPr/>
          <w:p>
            <w:pPr>
              <w:pStyle w:val="Compact"/>
              <w:jc w:val="left"/>
            </w:pPr>
            <w:r>
              <w:rPr>
                <w:bCs/>
                <w:b/>
              </w:rPr>
              <w:t xml:space="preserve">Criticality</w:t>
            </w:r>
          </w:p>
        </w:tc>
        <w:tc>
          <w:tcPr/>
          <w:p>
            <w:pPr>
              <w:pStyle w:val="Compact"/>
              <w:jc w:val="left"/>
            </w:pPr>
            <w:r>
              <w:t xml:space="preserve">Critical</w:t>
            </w:r>
          </w:p>
        </w:tc>
      </w:tr>
      <w:tr>
        <w:tc>
          <w:tcPr/>
          <w:p>
            <w:pPr>
              <w:pStyle w:val="Compact"/>
              <w:jc w:val="left"/>
            </w:pPr>
            <w:r>
              <w:rPr>
                <w:bCs/>
                <w:b/>
              </w:rPr>
              <w:t xml:space="preserve">Decision Owner</w:t>
            </w:r>
          </w:p>
        </w:tc>
        <w:tc>
          <w:tcPr/>
          <w:p>
            <w:pPr>
              <w:pStyle w:val="Compact"/>
              <w:jc w:val="left"/>
            </w:pPr>
            <w:r>
              <w:t xml:space="preserve">Sarah Chen, Identity Security Lead</w:t>
            </w:r>
          </w:p>
        </w:tc>
      </w:tr>
      <w:tr>
        <w:tc>
          <w:tcPr/>
          <w:p>
            <w:pPr>
              <w:pStyle w:val="Compact"/>
              <w:jc w:val="left"/>
            </w:pPr>
            <w:r>
              <w:rPr>
                <w:bCs/>
                <w:b/>
              </w:rPr>
              <w:t xml:space="preserve">Approver</w:t>
            </w:r>
          </w:p>
        </w:tc>
        <w:tc>
          <w:tcPr/>
          <w:p>
            <w:pPr>
              <w:pStyle w:val="Compact"/>
              <w:jc w:val="left"/>
            </w:pPr>
            <w:r>
              <w:t xml:space="preserve">Michael Torres, CISO</w:t>
            </w:r>
          </w:p>
        </w:tc>
      </w:tr>
      <w:tr>
        <w:tc>
          <w:tcPr/>
          <w:p>
            <w:pPr>
              <w:pStyle w:val="Compact"/>
              <w:jc w:val="left"/>
            </w:pPr>
            <w:r>
              <w:rPr>
                <w:bCs/>
                <w:b/>
              </w:rPr>
              <w:t xml:space="preserve">Review Date</w:t>
            </w:r>
          </w:p>
        </w:tc>
        <w:tc>
          <w:tcPr/>
          <w:p>
            <w:pPr>
              <w:pStyle w:val="Compact"/>
              <w:jc w:val="left"/>
            </w:pPr>
            <w:r>
              <w:t xml:space="preserve">May 15, 2026</w:t>
            </w:r>
          </w:p>
        </w:tc>
      </w:tr>
    </w:tbl>
    <w:p>
      <w:r>
        <w:pict>
          <v:rect style="width:0;height:1.5pt" o:hralign="center" o:hrstd="t" o:hr="t"/>
        </w:pict>
      </w:r>
    </w:p>
    <w:bookmarkEnd w:id="21"/>
    <w:bookmarkStart w:id="25" w:name="context"/>
    <w:p>
      <w:pPr>
        <w:pStyle w:val="Heading2"/>
      </w:pPr>
      <w:r>
        <w:t xml:space="preserve">CONTEXT</w:t>
      </w:r>
    </w:p>
    <w:bookmarkStart w:id="22" w:name="background"/>
    <w:p>
      <w:pPr>
        <w:pStyle w:val="Heading3"/>
      </w:pPr>
      <w:r>
        <w:t xml:space="preserve">Background</w:t>
      </w:r>
    </w:p>
    <w:p>
      <w:pPr>
        <w:pStyle w:val="FirstParagraph"/>
      </w:pPr>
      <w:r>
        <w:t xml:space="preserve">GlobalTech Manufacturing currently relies on Microsoft Entra ID (formerly Azure AD) as the sole identity provider for all enterprise applications. The July 2024 CrowdStrike incident and subsequent Entra ID outages in Q3 2024 exposed critical single points of failure in our identity architecture.</w:t>
      </w:r>
    </w:p>
    <w:bookmarkEnd w:id="22"/>
    <w:bookmarkStart w:id="23" w:name="problem-statement"/>
    <w:p>
      <w:pPr>
        <w:pStyle w:val="Heading3"/>
      </w:pPr>
      <w:r>
        <w:t xml:space="preserve">Problem Statement</w:t>
      </w:r>
    </w:p>
    <w:p>
      <w:pPr>
        <w:pStyle w:val="FirstParagraph"/>
      </w:pPr>
      <w:r>
        <w:t xml:space="preserve">When Entra ID experiences an outage, all 47 federated applications become inaccessible simultaneously. During the September 2024 incident, this resulted in:</w:t>
      </w:r>
      <w:r>
        <w:t xml:space="preserve"> </w:t>
      </w:r>
      <w:r>
        <w:t xml:space="preserve">- 4.2 hours of complete operational shutdown</w:t>
      </w:r>
      <w:r>
        <w:t xml:space="preserve"> </w:t>
      </w:r>
      <w:r>
        <w:t xml:space="preserve">- $1.8M in estimated productivity loss</w:t>
      </w:r>
      <w:r>
        <w:t xml:space="preserve"> </w:t>
      </w:r>
      <w:r>
        <w:t xml:space="preserve">- 12,000 employees locked out of all systems</w:t>
      </w:r>
      <w:r>
        <w:t xml:space="preserve"> </w:t>
      </w:r>
      <w:r>
        <w:t xml:space="preserve">- Customer-facing services unavailable for 3.5 hours</w:t>
      </w:r>
    </w:p>
    <w:bookmarkEnd w:id="23"/>
    <w:bookmarkStart w:id="24" w:name="drivers"/>
    <w:p>
      <w:pPr>
        <w:pStyle w:val="Heading3"/>
      </w:pPr>
      <w:r>
        <w:t xml:space="preserve">Drivers</w:t>
      </w:r>
    </w:p>
    <w:p>
      <w:pPr>
        <w:numPr>
          <w:ilvl w:val="0"/>
          <w:numId w:val="1001"/>
        </w:numPr>
        <w:pStyle w:val="Compact"/>
      </w:pPr>
      <w:r>
        <w:rPr>
          <w:bCs/>
          <w:b/>
        </w:rPr>
        <w:t xml:space="preserve">Regulatory Pressure:</w:t>
      </w:r>
      <w:r>
        <w:t xml:space="preserve"> </w:t>
      </w:r>
      <w:r>
        <w:t xml:space="preserve">DORA requirements mandate operational resilience for critical functions</w:t>
      </w:r>
    </w:p>
    <w:p>
      <w:pPr>
        <w:numPr>
          <w:ilvl w:val="0"/>
          <w:numId w:val="1001"/>
        </w:numPr>
        <w:pStyle w:val="Compact"/>
      </w:pPr>
      <w:r>
        <w:rPr>
          <w:bCs/>
          <w:b/>
        </w:rPr>
        <w:t xml:space="preserve">Business Continuity:</w:t>
      </w:r>
      <w:r>
        <w:t xml:space="preserve"> </w:t>
      </w:r>
      <w:r>
        <w:t xml:space="preserve">Board mandate for &lt;15 minute RTO on identity services</w:t>
      </w:r>
    </w:p>
    <w:p>
      <w:pPr>
        <w:numPr>
          <w:ilvl w:val="0"/>
          <w:numId w:val="1001"/>
        </w:numPr>
        <w:pStyle w:val="Compact"/>
      </w:pPr>
      <w:r>
        <w:rPr>
          <w:bCs/>
          <w:b/>
        </w:rPr>
        <w:t xml:space="preserve">Risk Reduction:</w:t>
      </w:r>
      <w:r>
        <w:t xml:space="preserve"> </w:t>
      </w:r>
      <w:r>
        <w:t xml:space="preserve">Concentration risk identified in Q3 2024 sovereignty assessment</w:t>
      </w:r>
    </w:p>
    <w:p>
      <w:pPr>
        <w:numPr>
          <w:ilvl w:val="0"/>
          <w:numId w:val="1001"/>
        </w:numPr>
        <w:pStyle w:val="Compact"/>
      </w:pPr>
      <w:r>
        <w:rPr>
          <w:bCs/>
          <w:b/>
        </w:rPr>
        <w:t xml:space="preserve">Competitive Pressure:</w:t>
      </w:r>
      <w:r>
        <w:t xml:space="preserve"> </w:t>
      </w:r>
      <w:r>
        <w:t xml:space="preserve">Two competitors maintained operations during the September outage</w:t>
      </w:r>
    </w:p>
    <w:p>
      <w:r>
        <w:pict>
          <v:rect style="width:0;height:1.5pt" o:hralign="center" o:hrstd="t" o:hr="t"/>
        </w:pict>
      </w:r>
    </w:p>
    <w:bookmarkEnd w:id="24"/>
    <w:bookmarkEnd w:id="25"/>
    <w:bookmarkStart w:id="29" w:name="decision"/>
    <w:p>
      <w:pPr>
        <w:pStyle w:val="Heading2"/>
      </w:pPr>
      <w:r>
        <w:t xml:space="preserve">DECISION</w:t>
      </w:r>
    </w:p>
    <w:p>
      <w:pPr>
        <w:pStyle w:val="FirstParagraph"/>
      </w:pPr>
      <w:r>
        <w:rPr>
          <w:bCs/>
          <w:b/>
        </w:rPr>
        <w:t xml:space="preserve">We will implement Okta as a secondary identity provider with automated failover capability for Tier 1 critical applications.</w:t>
      </w:r>
    </w:p>
    <w:bookmarkStart w:id="26" w:name="scope"/>
    <w:p>
      <w:pPr>
        <w:pStyle w:val="Heading3"/>
      </w:pPr>
      <w:r>
        <w:t xml:space="preserve">Scope</w:t>
      </w:r>
    </w:p>
    <w:p>
      <w:pPr>
        <w:numPr>
          <w:ilvl w:val="0"/>
          <w:numId w:val="1002"/>
        </w:numPr>
        <w:pStyle w:val="Compact"/>
      </w:pPr>
      <w:r>
        <w:t xml:space="preserve">12 Tier 1 critical applications (e-commerce, ERP, payment processing, manufacturing execution)</w:t>
      </w:r>
    </w:p>
    <w:p>
      <w:pPr>
        <w:numPr>
          <w:ilvl w:val="0"/>
          <w:numId w:val="1002"/>
        </w:numPr>
        <w:pStyle w:val="Compact"/>
      </w:pPr>
      <w:r>
        <w:t xml:space="preserve">8,500 users with Tier 1 access</w:t>
      </w:r>
    </w:p>
    <w:p>
      <w:pPr>
        <w:numPr>
          <w:ilvl w:val="0"/>
          <w:numId w:val="1002"/>
        </w:numPr>
        <w:pStyle w:val="Compact"/>
      </w:pPr>
      <w:r>
        <w:t xml:space="preserve">Automated failover within 5 minutes of primary IdP failure detection</w:t>
      </w:r>
    </w:p>
    <w:bookmarkEnd w:id="26"/>
    <w:bookmarkStart w:id="27" w:name="architecture"/>
    <w:p>
      <w:pPr>
        <w:pStyle w:val="Heading3"/>
      </w:pPr>
      <w:r>
        <w:t xml:space="preserve">Architecture</w:t>
      </w:r>
    </w:p>
    <w:p>
      <w:pPr>
        <w:pStyle w:val="SourceCode"/>
      </w:pPr>
      <w:r>
        <w:rPr>
          <w:rStyle w:val="VerbatimChar"/>
        </w:rPr>
        <w:t xml:space="preserve">Primary Path: User → Entra ID → Application</w:t>
      </w:r>
      <w:r>
        <w:br/>
      </w:r>
      <w:r>
        <w:rPr>
          <w:rStyle w:val="VerbatimChar"/>
        </w:rPr>
        <w:t xml:space="preserve">Failover Path: User → Okta → Application (activated on Entra ID failure)</w:t>
      </w:r>
    </w:p>
    <w:bookmarkEnd w:id="27"/>
    <w:bookmarkStart w:id="28" w:name="key-design-decisions"/>
    <w:p>
      <w:pPr>
        <w:pStyle w:val="Heading3"/>
      </w:pPr>
      <w:r>
        <w:t xml:space="preserve">Key Design Decisions</w:t>
      </w:r>
    </w:p>
    <w:p>
      <w:pPr>
        <w:numPr>
          <w:ilvl w:val="0"/>
          <w:numId w:val="1003"/>
        </w:numPr>
        <w:pStyle w:val="Compact"/>
      </w:pPr>
      <w:r>
        <w:rPr>
          <w:bCs/>
          <w:b/>
        </w:rPr>
        <w:t xml:space="preserve">Active-Passive Configuration:</w:t>
      </w:r>
      <w:r>
        <w:t xml:space="preserve"> </w:t>
      </w:r>
      <w:r>
        <w:t xml:space="preserve">Okta remains in warm standby to minimize licensing costs</w:t>
      </w:r>
    </w:p>
    <w:p>
      <w:pPr>
        <w:numPr>
          <w:ilvl w:val="0"/>
          <w:numId w:val="1003"/>
        </w:numPr>
        <w:pStyle w:val="Compact"/>
      </w:pPr>
      <w:r>
        <w:rPr>
          <w:bCs/>
          <w:b/>
        </w:rPr>
        <w:t xml:space="preserve">Automated Detection:</w:t>
      </w:r>
      <w:r>
        <w:t xml:space="preserve"> </w:t>
      </w:r>
      <w:r>
        <w:t xml:space="preserve">Health checks every 30 seconds with 3-failure threshold</w:t>
      </w:r>
    </w:p>
    <w:p>
      <w:pPr>
        <w:numPr>
          <w:ilvl w:val="0"/>
          <w:numId w:val="1003"/>
        </w:numPr>
        <w:pStyle w:val="Compact"/>
      </w:pPr>
      <w:r>
        <w:rPr>
          <w:bCs/>
          <w:b/>
        </w:rPr>
        <w:t xml:space="preserve">Selective Failover:</w:t>
      </w:r>
      <w:r>
        <w:t xml:space="preserve"> </w:t>
      </w:r>
      <w:r>
        <w:t xml:space="preserve">Only Tier 1 applications fail over; Tier 2-3 wait for primary recovery</w:t>
      </w:r>
    </w:p>
    <w:p>
      <w:pPr>
        <w:numPr>
          <w:ilvl w:val="0"/>
          <w:numId w:val="1003"/>
        </w:numPr>
        <w:pStyle w:val="Compact"/>
      </w:pPr>
      <w:r>
        <w:rPr>
          <w:bCs/>
          <w:b/>
        </w:rPr>
        <w:t xml:space="preserve">User Transparency:</w:t>
      </w:r>
      <w:r>
        <w:t xml:space="preserve"> </w:t>
      </w:r>
      <w:r>
        <w:t xml:space="preserve">Single sign-on experience maintained during failover</w:t>
      </w:r>
    </w:p>
    <w:p>
      <w:r>
        <w:pict>
          <v:rect style="width:0;height:1.5pt" o:hralign="center" o:hrstd="t" o:hr="t"/>
        </w:pict>
      </w:r>
    </w:p>
    <w:bookmarkEnd w:id="28"/>
    <w:bookmarkEnd w:id="29"/>
    <w:bookmarkStart w:id="34" w:name="alternatives-considered"/>
    <w:p>
      <w:pPr>
        <w:pStyle w:val="Heading2"/>
      </w:pPr>
      <w:r>
        <w:t xml:space="preserve">ALTERNATIVES CONSIDERED</w:t>
      </w:r>
    </w:p>
    <w:bookmarkStart w:id="30" w:name="option-a-maintain-single-idp-status-quo"/>
    <w:p>
      <w:pPr>
        <w:pStyle w:val="Heading3"/>
      </w:pPr>
      <w:r>
        <w:t xml:space="preserve">Option A: Maintain Single IdP (Status Quo)</w:t>
      </w:r>
    </w:p>
    <w:p>
      <w:pPr>
        <w:numPr>
          <w:ilvl w:val="0"/>
          <w:numId w:val="1004"/>
        </w:numPr>
        <w:pStyle w:val="Compact"/>
      </w:pPr>
      <w:r>
        <w:rPr>
          <w:bCs/>
          <w:b/>
        </w:rPr>
        <w:t xml:space="preserve">Pros:</w:t>
      </w:r>
      <w:r>
        <w:t xml:space="preserve"> </w:t>
      </w:r>
      <w:r>
        <w:t xml:space="preserve">Lower cost, simpler operations</w:t>
      </w:r>
    </w:p>
    <w:p>
      <w:pPr>
        <w:numPr>
          <w:ilvl w:val="0"/>
          <w:numId w:val="1004"/>
        </w:numPr>
        <w:pStyle w:val="Compact"/>
      </w:pPr>
      <w:r>
        <w:rPr>
          <w:bCs/>
          <w:b/>
        </w:rPr>
        <w:t xml:space="preserve">Cons:</w:t>
      </w:r>
      <w:r>
        <w:t xml:space="preserve"> </w:t>
      </w:r>
      <w:r>
        <w:t xml:space="preserve">Unacceptable concentration risk, regulatory non-compliance</w:t>
      </w:r>
    </w:p>
    <w:p>
      <w:pPr>
        <w:numPr>
          <w:ilvl w:val="0"/>
          <w:numId w:val="1004"/>
        </w:numPr>
        <w:pStyle w:val="Compact"/>
      </w:pPr>
      <w:r>
        <w:rPr>
          <w:bCs/>
          <w:b/>
        </w:rPr>
        <w:t xml:space="preserve">Decision:</w:t>
      </w:r>
      <w:r>
        <w:t xml:space="preserve"> </w:t>
      </w:r>
      <w:r>
        <w:t xml:space="preserve">REJECTED — Does not meet business continuity requirements</w:t>
      </w:r>
    </w:p>
    <w:bookmarkEnd w:id="30"/>
    <w:bookmarkStart w:id="31" w:name="Xe228a6aeedac492fb768f8401c99a4458bafe50"/>
    <w:p>
      <w:pPr>
        <w:pStyle w:val="Heading3"/>
      </w:pPr>
      <w:r>
        <w:t xml:space="preserve">Option B: On-Premises Active Directory Fallback</w:t>
      </w:r>
    </w:p>
    <w:p>
      <w:pPr>
        <w:numPr>
          <w:ilvl w:val="0"/>
          <w:numId w:val="1005"/>
        </w:numPr>
        <w:pStyle w:val="Compact"/>
      </w:pPr>
      <w:r>
        <w:rPr>
          <w:bCs/>
          <w:b/>
        </w:rPr>
        <w:t xml:space="preserve">Pros:</w:t>
      </w:r>
      <w:r>
        <w:t xml:space="preserve"> </w:t>
      </w:r>
      <w:r>
        <w:t xml:space="preserve">Full control, no additional vendor</w:t>
      </w:r>
    </w:p>
    <w:p>
      <w:pPr>
        <w:numPr>
          <w:ilvl w:val="0"/>
          <w:numId w:val="1005"/>
        </w:numPr>
        <w:pStyle w:val="Compact"/>
      </w:pPr>
      <w:r>
        <w:rPr>
          <w:bCs/>
          <w:b/>
        </w:rPr>
        <w:t xml:space="preserve">Cons:</w:t>
      </w:r>
      <w:r>
        <w:t xml:space="preserve"> </w:t>
      </w:r>
      <w:r>
        <w:t xml:space="preserve">Requires VPN for remote users, limited modern auth support, high maintenance</w:t>
      </w:r>
    </w:p>
    <w:p>
      <w:pPr>
        <w:numPr>
          <w:ilvl w:val="0"/>
          <w:numId w:val="1005"/>
        </w:numPr>
        <w:pStyle w:val="Compact"/>
      </w:pPr>
      <w:r>
        <w:rPr>
          <w:bCs/>
          <w:b/>
        </w:rPr>
        <w:t xml:space="preserve">Decision:</w:t>
      </w:r>
      <w:r>
        <w:t xml:space="preserve"> </w:t>
      </w:r>
      <w:r>
        <w:t xml:space="preserve">REJECTED — Poor user experience for 60% remote workforce</w:t>
      </w:r>
    </w:p>
    <w:bookmarkEnd w:id="31"/>
    <w:bookmarkStart w:id="32" w:name="option-c-okta-as-secondary-idp-selected"/>
    <w:p>
      <w:pPr>
        <w:pStyle w:val="Heading3"/>
      </w:pPr>
      <w:r>
        <w:t xml:space="preserve">Option C: Okta as Secondary IdP (Selected)</w:t>
      </w:r>
    </w:p>
    <w:p>
      <w:pPr>
        <w:numPr>
          <w:ilvl w:val="0"/>
          <w:numId w:val="1006"/>
        </w:numPr>
        <w:pStyle w:val="Compact"/>
      </w:pPr>
      <w:r>
        <w:rPr>
          <w:bCs/>
          <w:b/>
        </w:rPr>
        <w:t xml:space="preserve">Pros:</w:t>
      </w:r>
      <w:r>
        <w:t xml:space="preserve"> </w:t>
      </w:r>
      <w:r>
        <w:t xml:space="preserve">Modern protocols, cloud-native, proven enterprise scale</w:t>
      </w:r>
    </w:p>
    <w:p>
      <w:pPr>
        <w:numPr>
          <w:ilvl w:val="0"/>
          <w:numId w:val="1006"/>
        </w:numPr>
        <w:pStyle w:val="Compact"/>
      </w:pPr>
      <w:r>
        <w:rPr>
          <w:bCs/>
          <w:b/>
        </w:rPr>
        <w:t xml:space="preserve">Cons:</w:t>
      </w:r>
      <w:r>
        <w:t xml:space="preserve"> </w:t>
      </w:r>
      <w:r>
        <w:t xml:space="preserve">Additional licensing cost ($420K/year), operational complexity</w:t>
      </w:r>
    </w:p>
    <w:p>
      <w:pPr>
        <w:numPr>
          <w:ilvl w:val="0"/>
          <w:numId w:val="1006"/>
        </w:numPr>
        <w:pStyle w:val="Compact"/>
      </w:pPr>
      <w:r>
        <w:rPr>
          <w:bCs/>
          <w:b/>
        </w:rPr>
        <w:t xml:space="preserve">Decision:</w:t>
      </w:r>
      <w:r>
        <w:t xml:space="preserve"> </w:t>
      </w:r>
      <w:r>
        <w:t xml:space="preserve">APPROVED — Best balance of resilience and operational fit</w:t>
      </w:r>
    </w:p>
    <w:bookmarkEnd w:id="32"/>
    <w:bookmarkStart w:id="33" w:name="option-d-google-workspace-identity"/>
    <w:p>
      <w:pPr>
        <w:pStyle w:val="Heading3"/>
      </w:pPr>
      <w:r>
        <w:t xml:space="preserve">Option D: Google Workspace Identity</w:t>
      </w:r>
    </w:p>
    <w:p>
      <w:pPr>
        <w:numPr>
          <w:ilvl w:val="0"/>
          <w:numId w:val="1007"/>
        </w:numPr>
        <w:pStyle w:val="Compact"/>
      </w:pPr>
      <w:r>
        <w:rPr>
          <w:bCs/>
          <w:b/>
        </w:rPr>
        <w:t xml:space="preserve">Pros:</w:t>
      </w:r>
      <w:r>
        <w:t xml:space="preserve"> </w:t>
      </w:r>
      <w:r>
        <w:t xml:space="preserve">Lower cost, good integration with existing Google tools</w:t>
      </w:r>
    </w:p>
    <w:p>
      <w:pPr>
        <w:numPr>
          <w:ilvl w:val="0"/>
          <w:numId w:val="1007"/>
        </w:numPr>
        <w:pStyle w:val="Compact"/>
      </w:pPr>
      <w:r>
        <w:rPr>
          <w:bCs/>
          <w:b/>
        </w:rPr>
        <w:t xml:space="preserve">Cons:</w:t>
      </w:r>
      <w:r>
        <w:t xml:space="preserve"> </w:t>
      </w:r>
      <w:r>
        <w:t xml:space="preserve">Limited enterprise federation features, less mature than Okta</w:t>
      </w:r>
    </w:p>
    <w:p>
      <w:pPr>
        <w:numPr>
          <w:ilvl w:val="0"/>
          <w:numId w:val="1007"/>
        </w:numPr>
        <w:pStyle w:val="Compact"/>
      </w:pPr>
      <w:r>
        <w:rPr>
          <w:bCs/>
          <w:b/>
        </w:rPr>
        <w:t xml:space="preserve">Decision:</w:t>
      </w:r>
      <w:r>
        <w:t xml:space="preserve"> </w:t>
      </w:r>
      <w:r>
        <w:t xml:space="preserve">REJECTED — Feature gaps in privileged access management</w:t>
      </w:r>
    </w:p>
    <w:p>
      <w:r>
        <w:pict>
          <v:rect style="width:0;height:1.5pt" o:hralign="center" o:hrstd="t" o:hr="t"/>
        </w:pict>
      </w:r>
    </w:p>
    <w:bookmarkEnd w:id="33"/>
    <w:bookmarkEnd w:id="34"/>
    <w:bookmarkStart w:id="38" w:name="consequences"/>
    <w:p>
      <w:pPr>
        <w:pStyle w:val="Heading2"/>
      </w:pPr>
      <w:r>
        <w:t xml:space="preserve">CONSEQUENCES</w:t>
      </w:r>
    </w:p>
    <w:bookmarkStart w:id="35" w:name="positive"/>
    <w:p>
      <w:pPr>
        <w:pStyle w:val="Heading3"/>
      </w:pPr>
      <w:r>
        <w:t xml:space="preserve">Positive</w:t>
      </w:r>
    </w:p>
    <w:p>
      <w:pPr>
        <w:numPr>
          <w:ilvl w:val="0"/>
          <w:numId w:val="1008"/>
        </w:numPr>
        <w:pStyle w:val="Compact"/>
      </w:pPr>
      <w:r>
        <w:t xml:space="preserve">RTO for identity services reduced from 4+ hours to &lt;5 minutes</w:t>
      </w:r>
    </w:p>
    <w:p>
      <w:pPr>
        <w:numPr>
          <w:ilvl w:val="0"/>
          <w:numId w:val="1008"/>
        </w:numPr>
        <w:pStyle w:val="Compact"/>
      </w:pPr>
      <w:r>
        <w:t xml:space="preserve">Regulatory compliance with DORA operational resilience requirements</w:t>
      </w:r>
    </w:p>
    <w:p>
      <w:pPr>
        <w:numPr>
          <w:ilvl w:val="0"/>
          <w:numId w:val="1008"/>
        </w:numPr>
        <w:pStyle w:val="Compact"/>
      </w:pPr>
      <w:r>
        <w:t xml:space="preserve">Reduced concentration risk in identity layer</w:t>
      </w:r>
    </w:p>
    <w:p>
      <w:pPr>
        <w:numPr>
          <w:ilvl w:val="0"/>
          <w:numId w:val="1008"/>
        </w:numPr>
        <w:pStyle w:val="Compact"/>
      </w:pPr>
      <w:r>
        <w:t xml:space="preserve">Improved negotiating leverage with Microsoft</w:t>
      </w:r>
    </w:p>
    <w:bookmarkEnd w:id="35"/>
    <w:bookmarkStart w:id="36" w:name="negative"/>
    <w:p>
      <w:pPr>
        <w:pStyle w:val="Heading3"/>
      </w:pPr>
      <w:r>
        <w:t xml:space="preserve">Negative</w:t>
      </w:r>
    </w:p>
    <w:p>
      <w:pPr>
        <w:numPr>
          <w:ilvl w:val="0"/>
          <w:numId w:val="1009"/>
        </w:numPr>
        <w:pStyle w:val="Compact"/>
      </w:pPr>
      <w:r>
        <w:t xml:space="preserve">$420K annual increase in identity licensing costs</w:t>
      </w:r>
    </w:p>
    <w:p>
      <w:pPr>
        <w:numPr>
          <w:ilvl w:val="0"/>
          <w:numId w:val="1009"/>
        </w:numPr>
        <w:pStyle w:val="Compact"/>
      </w:pPr>
      <w:r>
        <w:t xml:space="preserve">Operational complexity: two IdP platforms to maintain</w:t>
      </w:r>
    </w:p>
    <w:p>
      <w:pPr>
        <w:numPr>
          <w:ilvl w:val="0"/>
          <w:numId w:val="1009"/>
        </w:numPr>
        <w:pStyle w:val="Compact"/>
      </w:pPr>
      <w:r>
        <w:t xml:space="preserve">Training required for identity operations team</w:t>
      </w:r>
    </w:p>
    <w:p>
      <w:pPr>
        <w:numPr>
          <w:ilvl w:val="0"/>
          <w:numId w:val="1009"/>
        </w:numPr>
        <w:pStyle w:val="Compact"/>
      </w:pPr>
      <w:r>
        <w:t xml:space="preserve">6-month implementation timeline</w:t>
      </w:r>
    </w:p>
    <w:bookmarkEnd w:id="36"/>
    <w:bookmarkStart w:id="37" w:name="risks"/>
    <w:p>
      <w:pPr>
        <w:pStyle w:val="Heading3"/>
      </w:pPr>
      <w:r>
        <w:t xml:space="preserve">Risks</w:t>
      </w:r>
    </w:p>
    <w:tbl>
      <w:tblPr>
        <w:tblStyle w:val="Table"/>
        <w:tblW w:type="pct" w:w="5000"/>
        <w:tblLook w:firstRow="1" w:lastRow="0" w:firstColumn="0" w:lastColumn="0" w:noHBand="0" w:noVBand="0" w:val="0020"/>
        <w:jc w:val="start"/>
      </w:tblPr>
      <w:tblGrid>
        <w:gridCol w:w="1250"/>
        <w:gridCol w:w="2501"/>
        <w:gridCol w:w="1667"/>
        <w:gridCol w:w="2501"/>
      </w:tblGrid>
      <w:tr>
        <w:trPr>
          <w:tblHeader w:val="true"/>
        </w:trPr>
        <w:tc>
          <w:tcPr/>
          <w:p>
            <w:pPr>
              <w:pStyle w:val="Compact"/>
              <w:jc w:val="left"/>
            </w:pPr>
            <w:r>
              <w:t xml:space="preserve">Risk</w:t>
            </w:r>
          </w:p>
        </w:tc>
        <w:tc>
          <w:tcPr/>
          <w:p>
            <w:pPr>
              <w:pStyle w:val="Compact"/>
              <w:jc w:val="left"/>
            </w:pPr>
            <w:r>
              <w:t xml:space="preserve">Probability</w:t>
            </w:r>
          </w:p>
        </w:tc>
        <w:tc>
          <w:tcPr/>
          <w:p>
            <w:pPr>
              <w:pStyle w:val="Compact"/>
              <w:jc w:val="left"/>
            </w:pPr>
            <w:r>
              <w:t xml:space="preserve">Impact</w:t>
            </w:r>
          </w:p>
        </w:tc>
        <w:tc>
          <w:tcPr/>
          <w:p>
            <w:pPr>
              <w:pStyle w:val="Compact"/>
              <w:jc w:val="left"/>
            </w:pPr>
            <w:r>
              <w:t xml:space="preserve">Mitigation</w:t>
            </w:r>
          </w:p>
        </w:tc>
      </w:tr>
      <w:tr>
        <w:tc>
          <w:tcPr/>
          <w:p>
            <w:pPr>
              <w:pStyle w:val="Compact"/>
              <w:jc w:val="left"/>
            </w:pPr>
            <w:r>
              <w:t xml:space="preserve">Failover doesn’t activate correctly</w:t>
            </w:r>
          </w:p>
        </w:tc>
        <w:tc>
          <w:tcPr/>
          <w:p>
            <w:pPr>
              <w:pStyle w:val="Compact"/>
              <w:jc w:val="left"/>
            </w:pPr>
            <w:r>
              <w:t xml:space="preserve">Medium</w:t>
            </w:r>
          </w:p>
        </w:tc>
        <w:tc>
          <w:tcPr/>
          <w:p>
            <w:pPr>
              <w:pStyle w:val="Compact"/>
              <w:jc w:val="left"/>
            </w:pPr>
            <w:r>
              <w:t xml:space="preserve">High</w:t>
            </w:r>
          </w:p>
        </w:tc>
        <w:tc>
          <w:tcPr/>
          <w:p>
            <w:pPr>
              <w:pStyle w:val="Compact"/>
              <w:jc w:val="left"/>
            </w:pPr>
            <w:r>
              <w:t xml:space="preserve">Quarterly failover drills</w:t>
            </w:r>
          </w:p>
        </w:tc>
      </w:tr>
      <w:tr>
        <w:tc>
          <w:tcPr/>
          <w:p>
            <w:pPr>
              <w:pStyle w:val="Compact"/>
              <w:jc w:val="left"/>
            </w:pPr>
            <w:r>
              <w:t xml:space="preserve">User confusion during failover</w:t>
            </w:r>
          </w:p>
        </w:tc>
        <w:tc>
          <w:tcPr/>
          <w:p>
            <w:pPr>
              <w:pStyle w:val="Compact"/>
              <w:jc w:val="left"/>
            </w:pPr>
            <w:r>
              <w:t xml:space="preserve">Low</w:t>
            </w:r>
          </w:p>
        </w:tc>
        <w:tc>
          <w:tcPr/>
          <w:p>
            <w:pPr>
              <w:pStyle w:val="Compact"/>
              <w:jc w:val="left"/>
            </w:pPr>
            <w:r>
              <w:t xml:space="preserve">Medium</w:t>
            </w:r>
          </w:p>
        </w:tc>
        <w:tc>
          <w:tcPr/>
          <w:p>
            <w:pPr>
              <w:pStyle w:val="Compact"/>
              <w:jc w:val="left"/>
            </w:pPr>
            <w:r>
              <w:t xml:space="preserve">Communication plan + training</w:t>
            </w:r>
          </w:p>
        </w:tc>
      </w:tr>
      <w:tr>
        <w:tc>
          <w:tcPr/>
          <w:p>
            <w:pPr>
              <w:pStyle w:val="Compact"/>
              <w:jc w:val="left"/>
            </w:pPr>
            <w:r>
              <w:t xml:space="preserve">Okta also experiences outage</w:t>
            </w:r>
          </w:p>
        </w:tc>
        <w:tc>
          <w:tcPr/>
          <w:p>
            <w:pPr>
              <w:pStyle w:val="Compact"/>
              <w:jc w:val="left"/>
            </w:pPr>
            <w:r>
              <w:t xml:space="preserve">Low</w:t>
            </w:r>
          </w:p>
        </w:tc>
        <w:tc>
          <w:tcPr/>
          <w:p>
            <w:pPr>
              <w:pStyle w:val="Compact"/>
              <w:jc w:val="left"/>
            </w:pPr>
            <w:r>
              <w:t xml:space="preserve">Critical</w:t>
            </w:r>
          </w:p>
        </w:tc>
        <w:tc>
          <w:tcPr/>
          <w:p>
            <w:pPr>
              <w:pStyle w:val="Compact"/>
              <w:jc w:val="left"/>
            </w:pPr>
            <w:r>
              <w:t xml:space="preserve">Monitor for correlated failures</w:t>
            </w:r>
          </w:p>
        </w:tc>
      </w:tr>
      <w:tr>
        <w:tc>
          <w:tcPr/>
          <w:p>
            <w:pPr>
              <w:pStyle w:val="Compact"/>
              <w:jc w:val="left"/>
            </w:pPr>
            <w:r>
              <w:t xml:space="preserve">Configuration drift between IdPs</w:t>
            </w:r>
          </w:p>
        </w:tc>
        <w:tc>
          <w:tcPr/>
          <w:p>
            <w:pPr>
              <w:pStyle w:val="Compact"/>
              <w:jc w:val="left"/>
            </w:pPr>
            <w:r>
              <w:t xml:space="preserve">Medium</w:t>
            </w:r>
          </w:p>
        </w:tc>
        <w:tc>
          <w:tcPr/>
          <w:p>
            <w:pPr>
              <w:pStyle w:val="Compact"/>
              <w:jc w:val="left"/>
            </w:pPr>
            <w:r>
              <w:t xml:space="preserve">Medium</w:t>
            </w:r>
          </w:p>
        </w:tc>
        <w:tc>
          <w:tcPr/>
          <w:p>
            <w:pPr>
              <w:pStyle w:val="Compact"/>
              <w:jc w:val="left"/>
            </w:pPr>
            <w:r>
              <w:t xml:space="preserve">Automated sync verification</w:t>
            </w:r>
          </w:p>
        </w:tc>
      </w:tr>
    </w:tbl>
    <w:p>
      <w:r>
        <w:pict>
          <v:rect style="width:0;height:1.5pt" o:hralign="center" o:hrstd="t" o:hr="t"/>
        </w:pict>
      </w:r>
    </w:p>
    <w:bookmarkEnd w:id="37"/>
    <w:bookmarkEnd w:id="38"/>
    <w:bookmarkStart w:id="42" w:name="implementation"/>
    <w:p>
      <w:pPr>
        <w:pStyle w:val="Heading2"/>
      </w:pPr>
      <w:r>
        <w:t xml:space="preserve">IMPLEMENTATION</w:t>
      </w:r>
    </w:p>
    <w:bookmarkStart w:id="39" w:name="timeline"/>
    <w:p>
      <w:pPr>
        <w:pStyle w:val="Heading3"/>
      </w:pPr>
      <w:r>
        <w:t xml:space="preserve">Timeline</w:t>
      </w:r>
    </w:p>
    <w:tbl>
      <w:tblPr>
        <w:tblStyle w:val="Table"/>
        <w:tblW w:type="pct" w:w="5000"/>
        <w:tblLook w:firstRow="1" w:lastRow="0" w:firstColumn="0" w:lastColumn="0" w:noHBand="0" w:noVBand="0" w:val="0020"/>
        <w:jc w:val="start"/>
      </w:tblPr>
      <w:tblGrid>
        <w:gridCol w:w="1848"/>
        <w:gridCol w:w="2640"/>
        <w:gridCol w:w="3432"/>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Phase 1: Okta Setup</w:t>
            </w:r>
          </w:p>
        </w:tc>
        <w:tc>
          <w:tcPr/>
          <w:p>
            <w:pPr>
              <w:pStyle w:val="Compact"/>
              <w:jc w:val="left"/>
            </w:pPr>
            <w:r>
              <w:t xml:space="preserve">Weeks 1-4</w:t>
            </w:r>
          </w:p>
        </w:tc>
        <w:tc>
          <w:tcPr/>
          <w:p>
            <w:pPr>
              <w:pStyle w:val="Compact"/>
              <w:jc w:val="left"/>
            </w:pPr>
            <w:r>
              <w:t xml:space="preserve">Okta tenant configured</w:t>
            </w:r>
          </w:p>
        </w:tc>
      </w:tr>
      <w:tr>
        <w:tc>
          <w:tcPr/>
          <w:p>
            <w:pPr>
              <w:pStyle w:val="Compact"/>
              <w:jc w:val="left"/>
            </w:pPr>
            <w:r>
              <w:t xml:space="preserve">Phase 2: Tier 1 Integration</w:t>
            </w:r>
          </w:p>
        </w:tc>
        <w:tc>
          <w:tcPr/>
          <w:p>
            <w:pPr>
              <w:pStyle w:val="Compact"/>
              <w:jc w:val="left"/>
            </w:pPr>
            <w:r>
              <w:t xml:space="preserve">Weeks 5-10</w:t>
            </w:r>
          </w:p>
        </w:tc>
        <w:tc>
          <w:tcPr/>
          <w:p>
            <w:pPr>
              <w:pStyle w:val="Compact"/>
              <w:jc w:val="left"/>
            </w:pPr>
            <w:r>
              <w:t xml:space="preserve">12 applications federated</w:t>
            </w:r>
          </w:p>
        </w:tc>
      </w:tr>
      <w:tr>
        <w:tc>
          <w:tcPr/>
          <w:p>
            <w:pPr>
              <w:pStyle w:val="Compact"/>
              <w:jc w:val="left"/>
            </w:pPr>
            <w:r>
              <w:t xml:space="preserve">Phase 3: Failover Automation</w:t>
            </w:r>
          </w:p>
        </w:tc>
        <w:tc>
          <w:tcPr/>
          <w:p>
            <w:pPr>
              <w:pStyle w:val="Compact"/>
              <w:jc w:val="left"/>
            </w:pPr>
            <w:r>
              <w:t xml:space="preserve">Weeks 11-14</w:t>
            </w:r>
          </w:p>
        </w:tc>
        <w:tc>
          <w:tcPr/>
          <w:p>
            <w:pPr>
              <w:pStyle w:val="Compact"/>
              <w:jc w:val="left"/>
            </w:pPr>
            <w:r>
              <w:t xml:space="preserve">Automated detection + switching</w:t>
            </w:r>
          </w:p>
        </w:tc>
      </w:tr>
      <w:tr>
        <w:tc>
          <w:tcPr/>
          <w:p>
            <w:pPr>
              <w:pStyle w:val="Compact"/>
              <w:jc w:val="left"/>
            </w:pPr>
            <w:r>
              <w:t xml:space="preserve">Phase 4: Testing</w:t>
            </w:r>
          </w:p>
        </w:tc>
        <w:tc>
          <w:tcPr/>
          <w:p>
            <w:pPr>
              <w:pStyle w:val="Compact"/>
              <w:jc w:val="left"/>
            </w:pPr>
            <w:r>
              <w:t xml:space="preserve">Weeks 15-18</w:t>
            </w:r>
          </w:p>
        </w:tc>
        <w:tc>
          <w:tcPr/>
          <w:p>
            <w:pPr>
              <w:pStyle w:val="Compact"/>
              <w:jc w:val="left"/>
            </w:pPr>
            <w:r>
              <w:t xml:space="preserve">DR drills completed</w:t>
            </w:r>
          </w:p>
        </w:tc>
      </w:tr>
      <w:tr>
        <w:tc>
          <w:tcPr/>
          <w:p>
            <w:pPr>
              <w:pStyle w:val="Compact"/>
              <w:jc w:val="left"/>
            </w:pPr>
            <w:r>
              <w:t xml:space="preserve">Phase 5: Production</w:t>
            </w:r>
          </w:p>
        </w:tc>
        <w:tc>
          <w:tcPr/>
          <w:p>
            <w:pPr>
              <w:pStyle w:val="Compact"/>
              <w:jc w:val="left"/>
            </w:pPr>
            <w:r>
              <w:t xml:space="preserve">Week 19+</w:t>
            </w:r>
          </w:p>
        </w:tc>
        <w:tc>
          <w:tcPr/>
          <w:p>
            <w:pPr>
              <w:pStyle w:val="Compact"/>
              <w:jc w:val="left"/>
            </w:pPr>
            <w:r>
              <w:t xml:space="preserve">Full operational capability</w:t>
            </w:r>
          </w:p>
        </w:tc>
      </w:tr>
    </w:tbl>
    <w:bookmarkEnd w:id="39"/>
    <w:bookmarkStart w:id="40" w:name="success-criteria"/>
    <w:p>
      <w:pPr>
        <w:pStyle w:val="Heading3"/>
      </w:pPr>
      <w:r>
        <w:t xml:space="preserve">Success Criteria</w:t>
      </w:r>
    </w:p>
    <w:p>
      <w:pPr>
        <w:numPr>
          <w:ilvl w:val="0"/>
          <w:numId w:val="1010"/>
        </w:numPr>
        <w:pStyle w:val="Compact"/>
      </w:pPr>
      <w:r>
        <w:t xml:space="preserve">☐ Failover completes in &lt;5 minutes during drill</w:t>
      </w:r>
    </w:p>
    <w:p>
      <w:pPr>
        <w:numPr>
          <w:ilvl w:val="0"/>
          <w:numId w:val="1010"/>
        </w:numPr>
        <w:pStyle w:val="Compact"/>
      </w:pPr>
      <w:r>
        <w:t xml:space="preserve">☐ All 12 Tier 1 applications accessible via Okta</w:t>
      </w:r>
    </w:p>
    <w:p>
      <w:pPr>
        <w:numPr>
          <w:ilvl w:val="0"/>
          <w:numId w:val="1010"/>
        </w:numPr>
        <w:pStyle w:val="Compact"/>
      </w:pPr>
      <w:r>
        <w:t xml:space="preserve">☐ Zero user-reported authentication failures during failover</w:t>
      </w:r>
    </w:p>
    <w:p>
      <w:pPr>
        <w:numPr>
          <w:ilvl w:val="0"/>
          <w:numId w:val="1010"/>
        </w:numPr>
        <w:pStyle w:val="Compact"/>
      </w:pPr>
      <w:r>
        <w:t xml:space="preserve">☐ Failback to Entra ID completes in &lt;10 minutes</w:t>
      </w:r>
    </w:p>
    <w:bookmarkEnd w:id="40"/>
    <w:bookmarkStart w:id="41" w:name="resources-required"/>
    <w:p>
      <w:pPr>
        <w:pStyle w:val="Heading3"/>
      </w:pPr>
      <w:r>
        <w:t xml:space="preserve">Resources Required</w:t>
      </w:r>
    </w:p>
    <w:p>
      <w:pPr>
        <w:numPr>
          <w:ilvl w:val="0"/>
          <w:numId w:val="1011"/>
        </w:numPr>
        <w:pStyle w:val="Compact"/>
      </w:pPr>
      <w:r>
        <w:t xml:space="preserve">Identity Engineering: 2 FTE for 6 months</w:t>
      </w:r>
    </w:p>
    <w:p>
      <w:pPr>
        <w:numPr>
          <w:ilvl w:val="0"/>
          <w:numId w:val="1011"/>
        </w:numPr>
        <w:pStyle w:val="Compact"/>
      </w:pPr>
      <w:r>
        <w:t xml:space="preserve">Application Teams: 0.5 FTE per app for integration</w:t>
      </w:r>
    </w:p>
    <w:p>
      <w:pPr>
        <w:numPr>
          <w:ilvl w:val="0"/>
          <w:numId w:val="1011"/>
        </w:numPr>
        <w:pStyle w:val="Compact"/>
      </w:pPr>
      <w:r>
        <w:t xml:space="preserve">Budget: $840K (licensing + implementation)</w:t>
      </w:r>
    </w:p>
    <w:p>
      <w:r>
        <w:pict>
          <v:rect style="width:0;height:1.5pt" o:hralign="center" o:hrstd="t" o:hr="t"/>
        </w:pict>
      </w:r>
    </w:p>
    <w:bookmarkEnd w:id="41"/>
    <w:bookmarkEnd w:id="42"/>
    <w:bookmarkStart w:id="43" w:name="approvals"/>
    <w:p>
      <w:pPr>
        <w:pStyle w:val="Heading2"/>
      </w:pPr>
      <w:r>
        <w:t xml:space="preserve">APPROVALS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Role</w:t>
            </w:r>
          </w:p>
        </w:tc>
        <w:tc>
          <w:tcPr/>
          <w:p>
            <w:pPr>
              <w:pStyle w:val="Compact"/>
              <w:jc w:val="left"/>
            </w:pPr>
            <w:r>
              <w:t xml:space="preserve">Name</w:t>
            </w:r>
          </w:p>
        </w:tc>
        <w:tc>
          <w:tcPr/>
          <w:p>
            <w:pPr>
              <w:pStyle w:val="Compact"/>
              <w:jc w:val="left"/>
            </w:pPr>
            <w:r>
              <w:t xml:space="preserve">Decision</w:t>
            </w:r>
          </w:p>
        </w:tc>
        <w:tc>
          <w:tcPr/>
          <w:p>
            <w:pPr>
              <w:pStyle w:val="Compact"/>
              <w:jc w:val="left"/>
            </w:pPr>
            <w:r>
              <w:t xml:space="preserve">Date</w:t>
            </w:r>
          </w:p>
        </w:tc>
        <w:tc>
          <w:tcPr/>
          <w:p>
            <w:pPr>
              <w:pStyle w:val="Compact"/>
              <w:jc w:val="left"/>
            </w:pPr>
            <w:r>
              <w:t xml:space="preserve">Signature</w:t>
            </w:r>
          </w:p>
        </w:tc>
      </w:tr>
      <w:tr>
        <w:tc>
          <w:tcPr/>
          <w:p>
            <w:pPr>
              <w:pStyle w:val="Compact"/>
              <w:jc w:val="left"/>
            </w:pPr>
            <w:r>
              <w:t xml:space="preserve">Decision Owner</w:t>
            </w:r>
          </w:p>
        </w:tc>
        <w:tc>
          <w:tcPr/>
          <w:p>
            <w:pPr>
              <w:pStyle w:val="Compact"/>
              <w:jc w:val="left"/>
            </w:pPr>
            <w:r>
              <w:t xml:space="preserve">Sarah Chen</w:t>
            </w:r>
          </w:p>
        </w:tc>
        <w:tc>
          <w:tcPr/>
          <w:p>
            <w:pPr>
              <w:pStyle w:val="Compact"/>
              <w:jc w:val="left"/>
            </w:pPr>
            <w:r>
              <w:t xml:space="preserve">PROPOSED</w:t>
            </w:r>
          </w:p>
        </w:tc>
        <w:tc>
          <w:tcPr/>
          <w:p>
            <w:pPr>
              <w:pStyle w:val="Compact"/>
              <w:jc w:val="left"/>
            </w:pPr>
            <w:r>
              <w:t xml:space="preserve">Nov 10, 2025</w:t>
            </w:r>
          </w:p>
        </w:tc>
        <w:tc>
          <w:tcPr/>
          <w:p>
            <w:pPr>
              <w:pStyle w:val="Compact"/>
              <w:jc w:val="left"/>
            </w:pPr>
            <w:r>
              <w:t xml:space="preserve">S. Chen</w:t>
            </w:r>
          </w:p>
        </w:tc>
      </w:tr>
      <w:tr>
        <w:tc>
          <w:tcPr/>
          <w:p>
            <w:pPr>
              <w:pStyle w:val="Compact"/>
              <w:jc w:val="left"/>
            </w:pPr>
            <w:r>
              <w:t xml:space="preserve">Architecture Review</w:t>
            </w:r>
          </w:p>
        </w:tc>
        <w:tc>
          <w:tcPr/>
          <w:p>
            <w:pPr>
              <w:pStyle w:val="Compact"/>
              <w:jc w:val="left"/>
            </w:pPr>
            <w:r>
              <w:t xml:space="preserve">David Park</w:t>
            </w:r>
          </w:p>
        </w:tc>
        <w:tc>
          <w:tcPr/>
          <w:p>
            <w:pPr>
              <w:pStyle w:val="Compact"/>
              <w:jc w:val="left"/>
            </w:pPr>
            <w:r>
              <w:t xml:space="preserve">APPROVED</w:t>
            </w:r>
          </w:p>
        </w:tc>
        <w:tc>
          <w:tcPr/>
          <w:p>
            <w:pPr>
              <w:pStyle w:val="Compact"/>
              <w:jc w:val="left"/>
            </w:pPr>
            <w:r>
              <w:t xml:space="preserve">Nov 12, 2025</w:t>
            </w:r>
          </w:p>
        </w:tc>
        <w:tc>
          <w:tcPr/>
          <w:p>
            <w:pPr>
              <w:pStyle w:val="Compact"/>
              <w:jc w:val="left"/>
            </w:pPr>
            <w:r>
              <w:t xml:space="preserve">D. Park</w:t>
            </w:r>
          </w:p>
        </w:tc>
      </w:tr>
      <w:tr>
        <w:tc>
          <w:tcPr/>
          <w:p>
            <w:pPr>
              <w:pStyle w:val="Compact"/>
              <w:jc w:val="left"/>
            </w:pPr>
            <w:r>
              <w:t xml:space="preserve">Security Review</w:t>
            </w:r>
          </w:p>
        </w:tc>
        <w:tc>
          <w:tcPr/>
          <w:p>
            <w:pPr>
              <w:pStyle w:val="Compact"/>
              <w:jc w:val="left"/>
            </w:pPr>
            <w:r>
              <w:t xml:space="preserve">CISO</w:t>
            </w:r>
          </w:p>
        </w:tc>
        <w:tc>
          <w:tcPr/>
          <w:p>
            <w:pPr>
              <w:pStyle w:val="Compact"/>
              <w:jc w:val="left"/>
            </w:pPr>
            <w:r>
              <w:t xml:space="preserve">APPROVED</w:t>
            </w:r>
          </w:p>
        </w:tc>
        <w:tc>
          <w:tcPr/>
          <w:p>
            <w:pPr>
              <w:pStyle w:val="Compact"/>
              <w:jc w:val="left"/>
            </w:pPr>
            <w:r>
              <w:t xml:space="preserve">Nov 14, 2025</w:t>
            </w:r>
          </w:p>
        </w:tc>
        <w:tc>
          <w:tcPr/>
          <w:p>
            <w:pPr>
              <w:pStyle w:val="Compact"/>
              <w:jc w:val="left"/>
            </w:pPr>
            <w:r>
              <w:t xml:space="preserve">M. Torres</w:t>
            </w:r>
          </w:p>
        </w:tc>
      </w:tr>
      <w:tr>
        <w:tc>
          <w:tcPr/>
          <w:p>
            <w:pPr>
              <w:pStyle w:val="Compact"/>
              <w:jc w:val="left"/>
            </w:pPr>
            <w:r>
              <w:t xml:space="preserve">Final Approver</w:t>
            </w:r>
          </w:p>
        </w:tc>
        <w:tc>
          <w:tcPr/>
          <w:p>
            <w:pPr>
              <w:pStyle w:val="Compact"/>
              <w:jc w:val="left"/>
            </w:pPr>
            <w:r>
              <w:t xml:space="preserve">CTO</w:t>
            </w:r>
          </w:p>
        </w:tc>
        <w:tc>
          <w:tcPr/>
          <w:p>
            <w:pPr>
              <w:pStyle w:val="Compact"/>
              <w:jc w:val="left"/>
            </w:pPr>
            <w:r>
              <w:t xml:space="preserve">APPROVED</w:t>
            </w:r>
          </w:p>
        </w:tc>
        <w:tc>
          <w:tcPr/>
          <w:p>
            <w:pPr>
              <w:pStyle w:val="Compact"/>
              <w:jc w:val="left"/>
            </w:pPr>
            <w:r>
              <w:t xml:space="preserve">Nov 15, 2025</w:t>
            </w:r>
          </w:p>
        </w:tc>
        <w:tc>
          <w:tcPr/>
          <w:p>
            <w:pPr>
              <w:pStyle w:val="Compact"/>
              <w:jc w:val="left"/>
            </w:pPr>
            <w:r>
              <w:t xml:space="preserve">R. Williams</w:t>
            </w:r>
          </w:p>
        </w:tc>
      </w:tr>
    </w:tbl>
    <w:p>
      <w:r>
        <w:pict>
          <v:rect style="width:0;height:1.5pt" o:hralign="center" o:hrstd="t" o:hr="t"/>
        </w:pict>
      </w:r>
    </w:p>
    <w:bookmarkEnd w:id="43"/>
    <w:bookmarkStart w:id="44" w:name="references"/>
    <w:p>
      <w:pPr>
        <w:pStyle w:val="Heading2"/>
      </w:pPr>
      <w:r>
        <w:t xml:space="preserve">REFERENCES</w:t>
      </w:r>
    </w:p>
    <w:p>
      <w:pPr>
        <w:numPr>
          <w:ilvl w:val="0"/>
          <w:numId w:val="1012"/>
        </w:numPr>
        <w:pStyle w:val="Compact"/>
      </w:pPr>
      <w:r>
        <w:t xml:space="preserve">Sovereignty Assessment Report, Q3 2024</w:t>
      </w:r>
    </w:p>
    <w:p>
      <w:pPr>
        <w:numPr>
          <w:ilvl w:val="0"/>
          <w:numId w:val="1012"/>
        </w:numPr>
        <w:pStyle w:val="Compact"/>
      </w:pPr>
      <w:r>
        <w:t xml:space="preserve">DORA Compliance Gap Analysis, October 2024</w:t>
      </w:r>
    </w:p>
    <w:p>
      <w:pPr>
        <w:numPr>
          <w:ilvl w:val="0"/>
          <w:numId w:val="1012"/>
        </w:numPr>
        <w:pStyle w:val="Compact"/>
      </w:pPr>
      <w:r>
        <w:t xml:space="preserve">Microsoft Entra ID Incident Post-Mortem, September 2024</w:t>
      </w:r>
    </w:p>
    <w:p>
      <w:pPr>
        <w:numPr>
          <w:ilvl w:val="0"/>
          <w:numId w:val="1012"/>
        </w:numPr>
        <w:pStyle w:val="Compact"/>
      </w:pPr>
      <w:r>
        <w:t xml:space="preserve">Okta Enterprise Proposal, October 2024</w:t>
      </w:r>
    </w:p>
    <w:p>
      <w:pPr>
        <w:numPr>
          <w:ilvl w:val="0"/>
          <w:numId w:val="1012"/>
        </w:numPr>
        <w:pStyle w:val="Compact"/>
      </w:pPr>
      <w:r>
        <w:t xml:space="preserve">Identity Architecture Standards, v3.2</w:t>
      </w:r>
    </w:p>
    <w:p>
      <w:r>
        <w:pict>
          <v:rect style="width:0;height:1.5pt" o:hralign="center" o:hrstd="t" o:hr="t"/>
        </w:pict>
      </w:r>
    </w:p>
    <w:bookmarkEnd w:id="44"/>
    <w:bookmarkStart w:id="45" w:name="revision-history"/>
    <w:p>
      <w:pPr>
        <w:pStyle w:val="Heading2"/>
      </w:pPr>
      <w:r>
        <w:t xml:space="preserve">REVISION HISTORY</w:t>
      </w:r>
    </w:p>
    <w:tbl>
      <w:tblPr>
        <w:tblStyle w:val="Table"/>
        <w:tblW w:type="pct" w:w="5000"/>
        <w:tblLook w:firstRow="1" w:lastRow="0" w:firstColumn="0" w:lastColumn="0" w:noHBand="0" w:noVBand="0" w:val="0020"/>
        <w:jc w:val="start"/>
      </w:tblPr>
      <w:tblGrid>
        <w:gridCol w:w="2227"/>
        <w:gridCol w:w="1485"/>
        <w:gridCol w:w="1980"/>
        <w:gridCol w:w="2227"/>
      </w:tblGrid>
      <w:tr>
        <w:trPr>
          <w:tblHeader w:val="true"/>
        </w:trPr>
        <w:tc>
          <w:tcPr/>
          <w:p>
            <w:pPr>
              <w:pStyle w:val="Compact"/>
              <w:jc w:val="left"/>
            </w:pPr>
            <w:r>
              <w:t xml:space="preserve">Version</w:t>
            </w:r>
          </w:p>
        </w:tc>
        <w:tc>
          <w:tcPr/>
          <w:p>
            <w:pPr>
              <w:pStyle w:val="Compact"/>
              <w:jc w:val="left"/>
            </w:pPr>
            <w:r>
              <w:t xml:space="preserve">Date</w:t>
            </w:r>
          </w:p>
        </w:tc>
        <w:tc>
          <w:tcPr/>
          <w:p>
            <w:pPr>
              <w:pStyle w:val="Compact"/>
              <w:jc w:val="left"/>
            </w:pPr>
            <w:r>
              <w:t xml:space="preserve">Author</w:t>
            </w:r>
          </w:p>
        </w:tc>
        <w:tc>
          <w:tcPr/>
          <w:p>
            <w:pPr>
              <w:pStyle w:val="Compact"/>
              <w:jc w:val="left"/>
            </w:pPr>
            <w:r>
              <w:t xml:space="preserve">Changes</w:t>
            </w:r>
          </w:p>
        </w:tc>
      </w:tr>
      <w:tr>
        <w:tc>
          <w:tcPr/>
          <w:p>
            <w:pPr>
              <w:pStyle w:val="Compact"/>
              <w:jc w:val="left"/>
            </w:pPr>
            <w:r>
              <w:t xml:space="preserve">1.0</w:t>
            </w:r>
          </w:p>
        </w:tc>
        <w:tc>
          <w:tcPr/>
          <w:p>
            <w:pPr>
              <w:pStyle w:val="Compact"/>
              <w:jc w:val="left"/>
            </w:pPr>
            <w:r>
              <w:t xml:space="preserve">Nov 10, 2025</w:t>
            </w:r>
          </w:p>
        </w:tc>
        <w:tc>
          <w:tcPr/>
          <w:p>
            <w:pPr>
              <w:pStyle w:val="Compact"/>
              <w:jc w:val="left"/>
            </w:pPr>
            <w:r>
              <w:t xml:space="preserve">S. Chen</w:t>
            </w:r>
          </w:p>
        </w:tc>
        <w:tc>
          <w:tcPr/>
          <w:p>
            <w:pPr>
              <w:pStyle w:val="Compact"/>
              <w:jc w:val="left"/>
            </w:pPr>
            <w:r>
              <w:t xml:space="preserve">Initial draft</w:t>
            </w:r>
          </w:p>
        </w:tc>
      </w:tr>
      <w:tr>
        <w:tc>
          <w:tcPr/>
          <w:p>
            <w:pPr>
              <w:pStyle w:val="Compact"/>
              <w:jc w:val="left"/>
            </w:pPr>
            <w:r>
              <w:t xml:space="preserve">1.1</w:t>
            </w:r>
          </w:p>
        </w:tc>
        <w:tc>
          <w:tcPr/>
          <w:p>
            <w:pPr>
              <w:pStyle w:val="Compact"/>
              <w:jc w:val="left"/>
            </w:pPr>
            <w:r>
              <w:t xml:space="preserve">Nov 12, 2025</w:t>
            </w:r>
          </w:p>
        </w:tc>
        <w:tc>
          <w:tcPr/>
          <w:p>
            <w:pPr>
              <w:pStyle w:val="Compact"/>
              <w:jc w:val="left"/>
            </w:pPr>
            <w:r>
              <w:t xml:space="preserve">S. Chen</w:t>
            </w:r>
          </w:p>
        </w:tc>
        <w:tc>
          <w:tcPr/>
          <w:p>
            <w:pPr>
              <w:pStyle w:val="Compact"/>
              <w:jc w:val="left"/>
            </w:pPr>
            <w:r>
              <w:t xml:space="preserve">Added cost analysis per architecture review</w:t>
            </w:r>
          </w:p>
        </w:tc>
      </w:tr>
      <w:tr>
        <w:tc>
          <w:tcPr/>
          <w:p>
            <w:pPr>
              <w:pStyle w:val="Compact"/>
              <w:jc w:val="left"/>
            </w:pPr>
            <w:r>
              <w:t xml:space="preserve">2.0</w:t>
            </w:r>
          </w:p>
        </w:tc>
        <w:tc>
          <w:tcPr/>
          <w:p>
            <w:pPr>
              <w:pStyle w:val="Compact"/>
              <w:jc w:val="left"/>
            </w:pPr>
            <w:r>
              <w:t xml:space="preserve">Nov 15, 2025</w:t>
            </w:r>
          </w:p>
        </w:tc>
        <w:tc>
          <w:tcPr/>
          <w:p>
            <w:pPr>
              <w:pStyle w:val="Compact"/>
              <w:jc w:val="left"/>
            </w:pPr>
            <w:r>
              <w:t xml:space="preserve">S. Chen</w:t>
            </w:r>
          </w:p>
        </w:tc>
        <w:tc>
          <w:tcPr/>
          <w:p>
            <w:pPr>
              <w:pStyle w:val="Compact"/>
              <w:jc w:val="left"/>
            </w:pPr>
            <w:r>
              <w:t xml:space="preserve">Final approved version</w:t>
            </w:r>
          </w:p>
        </w:tc>
      </w:tr>
    </w:tbl>
    <w:p>
      <w:r>
        <w:pict>
          <v:rect style="width:0;height:1.5pt" o:hralign="center" o:hrstd="t" o:hr="t"/>
        </w:pict>
      </w:r>
    </w:p>
    <w:p>
      <w:pPr>
        <w:pStyle w:val="FirstParagraph"/>
      </w:pPr>
      <w:r>
        <w:rPr>
          <w:bCs/>
          <w:b/>
        </w:rPr>
        <w:t xml:space="preserve">Template Source:</w:t>
      </w:r>
      <w:r>
        <w:t xml:space="preserve"> </w:t>
      </w:r>
      <w:r>
        <w:rPr>
          <w:iCs/>
          <w:i/>
        </w:rPr>
        <w:t xml:space="preserve">When Clouds Fail: An Executive Playbook for Hybrid Sovereignty</w:t>
      </w:r>
      <w:r>
        <w:br/>
      </w:r>
      <w:r>
        <w:t xml:space="preserve">© 2026 Steve Oppenheim</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2025-12-23T14:57:20Z</dcterms:created>
  <dcterms:modified xsi:type="dcterms:W3CDTF">2025-12-23T14:57:20Z</dcterms:modified>
</cp:coreProperties>
</file>

<file path=docProps/custom.xml><?xml version="1.0" encoding="utf-8"?>
<Properties xmlns="http://schemas.openxmlformats.org/officeDocument/2006/custom-properties" xmlns:vt="http://schemas.openxmlformats.org/officeDocument/2006/docPropsVTypes"/>
</file>