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0"/>
      </w:pPr>
      <w:r>
        <w:rPr>
          <w:rFonts w:ascii="Arial" w:cs="Arial" w:eastAsia="Arial" w:hAnsi="Arial"/>
          <w:b w:val="false"/>
          <w:bCs w:val="false"/>
          <w:i w:val="false"/>
          <w:iCs w:val="false"/>
          <w:caps w:val="false"/>
          <w:color w:val="222222"/>
          <w:sz w:val="20"/>
          <w:szCs w:val="20"/>
        </w:rPr>
        <w:t xml:space="preserve"/>
      </w:r>
    </w:p>
    <w:p>
      <w:pPr>
        <w:keepNext w:val="false"/>
        <w:spacing w:after="40" w:before="60" w:line="276"/>
        <w:jc w:val="left"/>
      </w:pPr>
      <w:r>
        <w:rPr>
          <w:rFonts w:ascii="Arial" w:cs="Arial" w:eastAsia="Arial" w:hAnsi="Arial"/>
          <w:b/>
          <w:bCs/>
          <w:i w:val="false"/>
          <w:iCs w:val="false"/>
          <w:caps/>
          <w:color w:val="C9A227"/>
          <w:sz w:val="18"/>
          <w:szCs w:val="18"/>
        </w:rPr>
        <w:t xml:space="preserve">WHEN AGENTS RULE  //  COMPANION TOOLKIT</w:t>
      </w:r>
    </w:p>
    <w:p>
      <w:pPr>
        <w:keepNext w:val="false"/>
        <w:spacing w:after="240" w:before="60" w:line="276"/>
        <w:jc w:val="left"/>
      </w:pPr>
      <w:r>
        <w:rPr>
          <w:rFonts w:ascii="Arial" w:cs="Arial" w:eastAsia="Arial" w:hAnsi="Arial"/>
          <w:b/>
          <w:bCs/>
          <w:i w:val="false"/>
          <w:iCs w:val="false"/>
          <w:caps w:val="false"/>
          <w:color w:val="475569"/>
          <w:sz w:val="18"/>
          <w:szCs w:val="18"/>
        </w:rPr>
        <w:t xml:space="preserve">REGULATORY AND SOVEREIGNTY GROUP</w:t>
      </w:r>
    </w:p>
    <w:p>
      <w:pPr>
        <w:spacing w:after="100" w:before="0" w:line="300"/>
      </w:pPr>
      <w:r>
        <w:rPr>
          <w:rFonts w:ascii="Arial" w:cs="Arial" w:eastAsia="Arial" w:hAnsi="Arial"/>
          <w:b/>
          <w:bCs/>
          <w:i w:val="false"/>
          <w:iCs w:val="false"/>
          <w:caps w:val="false"/>
          <w:color w:val="1A2A3A"/>
          <w:sz w:val="48"/>
          <w:szCs w:val="48"/>
        </w:rPr>
        <w:t xml:space="preserve">AI Bill of Materials Readiness Checklist</w:t>
      </w:r>
    </w:p>
    <w:p>
      <w:pPr>
        <w:pBdr>
          <w:bottom w:val="single" w:color="059669" w:sz="18" w:space="4"/>
        </w:pBdr>
        <w:spacing w:after="200" w:before="0"/>
      </w:pPr>
      <w:r>
        <w:rPr>
          <w:rFonts w:ascii="Arial" w:cs="Arial" w:eastAsia="Arial" w:hAnsi="Arial"/>
          <w:b w:val="false"/>
          <w:bCs w:val="false"/>
          <w:i w:val="false"/>
          <w:iCs w:val="false"/>
          <w:caps w:val="false"/>
          <w:color w:val="222222"/>
          <w:sz w:val="20"/>
          <w:szCs w:val="20"/>
        </w:rPr>
        <w:t xml:space="preserve"/>
      </w:r>
    </w:p>
    <w:p>
      <w:pPr>
        <w:keepNext w:val="false"/>
        <w:spacing w:after="300" w:before="60" w:line="300"/>
        <w:jc w:val="left"/>
      </w:pPr>
      <w:r>
        <w:rPr>
          <w:rFonts w:ascii="Arial" w:cs="Arial" w:eastAsia="Arial" w:hAnsi="Arial"/>
          <w:b w:val="false"/>
          <w:bCs w:val="false"/>
          <w:i/>
          <w:iCs/>
          <w:caps w:val="false"/>
          <w:color w:val="2D4156"/>
          <w:sz w:val="24"/>
          <w:szCs w:val="24"/>
        </w:rPr>
        <w:t xml:space="preserve">Can you produce, on request and without a project, a complete and current account of what your AI systems are built from? This checklist scores the answer across six domains and tells you which gap to close first.</w:t>
      </w:r>
    </w:p>
    <w:p>
      <w:pPr>
        <w:keepNext w:val="false"/>
        <w:spacing w:after="300" w:before="60" w:line="280"/>
        <w:jc w:val="left"/>
      </w:pPr>
      <w:r>
        <w:rPr>
          <w:rFonts w:ascii="Arial" w:cs="Arial" w:eastAsia="Arial" w:hAnsi="Arial"/>
          <w:b w:val="false"/>
          <w:bCs w:val="false"/>
          <w:i w:val="false"/>
          <w:iCs w:val="false"/>
          <w:caps w:val="false"/>
          <w:color w:val="4A5568"/>
          <w:sz w:val="20"/>
          <w:szCs w:val="20"/>
        </w:rPr>
        <w:t xml:space="preserve">For the CIO, CISO, Chief Data Officer and the compliance officer preparing for technical documentation requests from regulators, auditors and enterprise customers.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59669"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BEFORE YOU USE THIS DOCUMENT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An AI bill of materials is an inventory artefact, not a compliance framework. No regulation names it, but several require the traceability it provides, and enterprise procurement increasingly asks for it by name.</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Score honestly. A checklist completed optimistically produces a readiness rating that will be contradicted by the first real request, in front of the people whose opinion matters most.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Standards and regulatory references were current at the September 2026 build date. Verify them against primary sources before relying on this in a filing.</w:t>
            </w:r>
          </w:p>
        </w:tc>
      </w:tr>
    </w:tbl>
    <w:p>
      <w:pPr>
        <w:spacing w:after="0" w:before="300"/>
      </w:pPr>
      <w:r>
        <w:rPr>
          <w:rFonts w:ascii="Arial" w:cs="Arial" w:eastAsia="Arial" w:hAnsi="Arial"/>
          <w:b w:val="false"/>
          <w:bCs w:val="false"/>
          <w:i w:val="false"/>
          <w:iCs w:val="false"/>
          <w:caps w:val="false"/>
          <w:color w:val="222222"/>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rPr>
          <w:tblHeader/>
        </w:trPr>
        <w:tc>
          <w:tcPr>
            <w:tcW w:type="dxa" w:w="3024"/>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705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Value</w:t>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Document owner</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Organization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Version and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Approved by</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Next review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Classification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20" w:line="276"/>
        <w:jc w:val="left"/>
      </w:pPr>
      <w:r>
        <w:rPr>
          <w:rFonts w:ascii="Arial" w:cs="Arial" w:eastAsia="Arial" w:hAnsi="Arial"/>
          <w:b w:val="false"/>
          <w:bCs w:val="false"/>
          <w:i/>
          <w:iCs/>
          <w:caps w:val="false"/>
          <w:color w:val="4A5568"/>
          <w:sz w:val="17"/>
          <w:szCs w:val="17"/>
        </w:rPr>
        <w:t xml:space="preserve">Yellow cells are yours to complete. Every bracketed placeholder in this document marks a decision your organization has to make rather than inherit.</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 What This Checklist Covers</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An AI bill of materials records what an AI system is made of and where each part came from. It answers a question that arrives from three directions at once: from a regulator asking for technical documentation, from an enterprise customer asking what is inside the product they are buying, and from your own security team asking what to check when a model or dataset turns out to be compromised.</w:t>
      </w:r>
    </w:p>
    <w:p>
      <w:pPr>
        <w:pStyle w:val="Heading3"/>
        <w:spacing w:after="40" w:before="180"/>
      </w:pPr>
      <w:r>
        <w:rPr>
          <w:rFonts w:ascii="Arial" w:cs="Arial" w:eastAsia="Arial" w:hAnsi="Arial"/>
          <w:b/>
          <w:bCs/>
          <w:i w:val="false"/>
          <w:iCs w:val="false"/>
          <w:caps w:val="false"/>
          <w:color w:val="1A2A3A"/>
          <w:sz w:val="21"/>
          <w:szCs w:val="21"/>
        </w:rPr>
        <w:t xml:space="preserve">What it is not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It is not a risk assessment. It records composition, not whether the composition is appropriate.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It is not a substitute for a management system. Inventory supports governance; it does not constitute it.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It is not a one time document. An AI bill of materials that is not regenerated as the system changes describes a system that no longer exists.</w:t>
      </w:r>
    </w:p>
    <w:p>
      <w:pPr>
        <w:pStyle w:val="Heading3"/>
        <w:spacing w:after="40" w:before="180"/>
      </w:pPr>
      <w:r>
        <w:rPr>
          <w:rFonts w:ascii="Arial" w:cs="Arial" w:eastAsia="Arial" w:hAnsi="Arial"/>
          <w:b/>
          <w:bCs/>
          <w:i w:val="false"/>
          <w:iCs w:val="false"/>
          <w:caps w:val="false"/>
          <w:color w:val="1A2A3A"/>
          <w:sz w:val="21"/>
          <w:szCs w:val="21"/>
        </w:rPr>
        <w:t xml:space="preserve">Choosing a format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7661"/>
      </w:tblGrid>
      <w:tr>
        <w:trPr>
          <w:tblHeader/>
        </w:trPr>
        <w:tc>
          <w:tcPr>
            <w:tcW w:type="dxa" w:w="2419"/>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Consideration</w:t>
            </w:r>
          </w:p>
        </w:tc>
        <w:tc>
          <w:tcPr>
            <w:tcW w:type="dxa" w:w="766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Guidance</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Machine readable formats</w:t>
            </w:r>
          </w:p>
        </w:tc>
        <w:tc>
          <w:tcPr>
            <w:tcW w:type="dxa" w:w="766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Two mature specification families dominate practice: the CycloneDX machine learning bill of materials, and the AI profile within SPDX. Both are stable and both are accepted; the choice is a tooling decision rather than a compliance one.</w:t>
            </w:r>
          </w:p>
        </w:tc>
      </w:tr>
      <w:tr>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Which to choose</w:t>
            </w:r>
          </w:p>
        </w:tc>
        <w:tc>
          <w:tcPr>
            <w:tcW w:type="dxa" w:w="766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CycloneDX is common where generation is automated inside build and deployment pipelines. The SPDX AI profile, with its international standards lineage, is often preferred where the artefact is destined for a regulatory filing or a procurement pack.</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The pragmatic answer</w:t>
            </w:r>
          </w:p>
        </w:tc>
        <w:tc>
          <w:tcPr>
            <w:tcW w:type="dxa" w:w="766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Choose the one your tooling already emits, and require your tooling to be able to read both. Interoperability matters more than picking correctly, because you will receive suppliers' bills of materials in whichever format they use.</w:t>
            </w:r>
          </w:p>
        </w:tc>
      </w:tr>
      <w:tr>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Generation</w:t>
            </w:r>
          </w:p>
        </w:tc>
        <w:tc>
          <w:tcPr>
            <w:tcW w:type="dxa" w:w="766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Generate from the pipeline, not by hand. A manually assembled bill of materials is accurate on the day it is written and misleading thereafter.</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Completeness scoring</w:t>
            </w:r>
          </w:p>
        </w:tc>
        <w:tc>
          <w:tcPr>
            <w:tcW w:type="dxa" w:w="766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Record a completeness measure alongside the artefact. Upstream model providers frequently do not publish fields you are expected to hold, and the honest position is to show the gap rather than leave the field blank.</w:t>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2. How to Score</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Score each item on the four point scale below. Use the scale as written; a generous reading of "partial" is the commonest way this assessment produces a misleading total.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11"/>
        <w:gridCol w:w="3427"/>
        <w:gridCol w:w="5242"/>
      </w:tblGrid>
      <w:tr>
        <w:trPr>
          <w:tblHeader/>
        </w:trPr>
        <w:tc>
          <w:tcPr>
            <w:tcW w:type="dxa" w:w="1411"/>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w:t>
            </w:r>
          </w:p>
        </w:tc>
        <w:tc>
          <w:tcPr>
            <w:tcW w:type="dxa" w:w="3427"/>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Meaning</w:t>
            </w:r>
          </w:p>
        </w:tc>
        <w:tc>
          <w:tcPr>
            <w:tcW w:type="dxa" w:w="524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Test to apply</w:t>
            </w:r>
          </w:p>
        </w:tc>
      </w:tr>
      <w:tr>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0 Absent</w:t>
            </w:r>
          </w:p>
        </w:tc>
        <w:tc>
          <w:tcPr>
            <w:tcW w:type="dxa" w:w="342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done, or nobody knows whether it is done.</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Nobody can name where this information lives.</w:t>
            </w:r>
          </w:p>
        </w:tc>
      </w:tr>
      <w:tr>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 Ad hoc</w:t>
            </w:r>
          </w:p>
        </w:tc>
        <w:tc>
          <w:tcPr>
            <w:tcW w:type="dxa" w:w="342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Exists for some systems, assembled on request, by individual effort.</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One named person could produce it, given a week, for the systems they personally know.</w:t>
            </w:r>
          </w:p>
        </w:tc>
      </w:tr>
      <w:tr>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 Partial</w:t>
            </w:r>
          </w:p>
        </w:tc>
        <w:tc>
          <w:tcPr>
            <w:tcW w:type="dxa" w:w="342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Exists for a defined subset, documented process, manual generation.</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named process exists and covers a defined population, but not all of it.</w:t>
            </w:r>
          </w:p>
        </w:tc>
      </w:tr>
      <w:tr>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 Managed</w:t>
            </w:r>
          </w:p>
        </w:tc>
        <w:tc>
          <w:tcPr>
            <w:tcW w:type="dxa" w:w="342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Complete for all in scope systems, generated from a defined source, reviewed on a cadence.</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You could produce it for any in scope system within a working day.</w:t>
            </w:r>
          </w:p>
        </w:tc>
      </w:tr>
      <w:tr>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4 Automated</w:t>
            </w:r>
          </w:p>
        </w:tc>
        <w:tc>
          <w:tcPr>
            <w:tcW w:type="dxa" w:w="342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Generated automatically on change, machine readable, versioned, completeness measured.</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It is already current without anyone being asked.</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C9A227"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ONE QUESTION TO ASK BEFORE YOU START SCORING</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If a regulator or a major customer asked today for a complete account of every model, dataset and component behind one named production AI system, how long would it take, and who would do it?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If the answer involves a named individual and more than two days, your true maturity is 1, whatever the individual item scores add up to.</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3. Domain One: Models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model in production is identified with a unique identifier and version.</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provider or origin of each model is recorded, including foundation model and provider version.</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Model weights provenance is recorded: where they came from and how their integrity is verified.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Fine tuning, adaptation and distillation applied to a base model are recorded with their inputs.</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Licence terms and permitted use for each model are recorded and current.</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Known limitations and intended use as published by the provider are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M7</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Model performance measures are recorded with the conditions under which they were obtained.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M8</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Model changes, including silent provider side updates, are detected and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M9</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Retired model versions are retained for the period needed to explain past decisions.</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M8 is the item most frequently scored too high. A provider that updates a hosted model without changing its identifier has changed your system without telling you, and reproducing a past decision becomes impossible. Ask how you would detect it before scoring above 2.</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4. Domain Two: Datasets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dataset used for training, fine tuning, evaluation or retrieval is identified and versioned.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Dataset origin and collection method are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Licence and permitted use for each dataset are recorded, including any restriction on commercial use.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Presence of personal data in each dataset is recorded, with the lawful basis relied on.</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Preprocessing, filtering, labelling and augmentation steps are recorded and reproducible.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Known composition characteristics relevant to bias are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D7</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Retrieval corpora used at inference are inventoried to the same standard as training data.</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D8</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Dataset integrity is verifiable, so that tampering would be detectable.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D7 is where most organizations discover the largest gap. Retrieval corpora are typically governed as document repositories rather than as model inputs, which means content that directly shapes agent behaviour sits outside the inventory entirely.</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5. Domain Three: Code and Dependencies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conventional software bill of materials exists for the application surrounding each model.</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Machine learning frameworks and their versions are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Orchestration, agent framework and tool calling libraries are recorded with versions.</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tool, function and connector an agent may invoke is inventoried with its scope.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Prompt templates, system instructions and policy configuration are versioned as code.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External services called at inference time are recorded, including model provider endpoints.</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C7</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Cryptographic components are recorded, so that AI infrastructure appears in the cryptographic census.</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C8</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Build provenance is recorded and signed, so deployed artefacts can be traced to their source.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C4 and C5 are the AI specific additions to a conventional software inventory. The tools an agent can call define what it can do, and the system instruction defines what it will try to do. Neither appears in a standard dependency scan, and both change behaviour more than a library version does.</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6. Domain Four: Hardware and Infrastructure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Compute used for training and for inference is recorded, including accelerator type.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Geographic location of training and inference is recorded per system.</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Hosting model is recorded: own infrastructure, cloud region, or third party managed service.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Jurisdictions in which data is processed and stored are recorded and current.</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Resource consumption is measured well enough to support a unit cost calculation.</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H6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Infrastructure placement decisions are recorded with the reasoning behind them.</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7. Domain Five: Data Processing and Pipeline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7C3AED"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end to end flow from input to action is documented per system.</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Data transformations between systems are recorded and reproducible.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Every point at which a human can intervene is documented.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Logging and retention for each stage of the pipeline are recorded.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Inter agent communication is inventoried where one system directs or invokes another.</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Memory and persistent state held between sessions are inventoried and scoped.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P7</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Feedback loops, where system output becomes future input, are identified.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P6 and P7 are newly material. Persistent memory means a system carries influence forward beyond the interaction that created it, and a feedback loop means the system is training on its own behaviour. Neither is visible in a static architecture diagram.</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8. Domain Six: Governance and Accountability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645"/>
        <w:gridCol w:w="1411"/>
        <w:gridCol w:w="2419"/>
      </w:tblGrid>
      <w:tr>
        <w:trPr>
          <w:tblHeader/>
        </w:trPr>
        <w:tc>
          <w:tcPr>
            <w:tcW w:type="dxa" w:w="60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64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w:t>
            </w:r>
          </w:p>
        </w:tc>
        <w:tc>
          <w:tcPr>
            <w:tcW w:type="dxa" w:w="1411"/>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 0 to 4</w:t>
            </w:r>
          </w:p>
        </w:tc>
        <w:tc>
          <w:tcPr>
            <w:tcW w:type="dxa" w:w="2419"/>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Evidence or gap</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G1</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Each system has a named business owner and technical owner recorded in the inventory.</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G2</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Autonomy classification is recorded and current for every system.</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G3</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Regulatory classification is recorded per system and per jurisdiction of operation.</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G4</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Approval history is recorded, including who approved what and on what evidence.</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G5</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Human oversight design is documented, including who reviews what and with what authority.</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G6</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Update cadence for the bill of materials is defined, and adherence is measured.</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G7</w:t>
            </w:r>
          </w:p>
        </w:tc>
        <w:tc>
          <w:tcPr>
            <w:tcW w:type="dxa" w:w="564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Supplier bills of materials are collected, ingested and compared for the AI components you buy.</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G8</w:t>
            </w:r>
          </w:p>
        </w:tc>
        <w:tc>
          <w:tcPr>
            <w:tcW w:type="dxa" w:w="564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completeness measure is published alongside the artefact, showing known gaps explicitly.</w:t>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419"/>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9. Scoring Summary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629"/>
        <w:gridCol w:w="1210"/>
        <w:gridCol w:w="1411"/>
        <w:gridCol w:w="1814"/>
        <w:gridCol w:w="2016"/>
      </w:tblGrid>
      <w:tr>
        <w:trPr>
          <w:tblHeader/>
        </w:trPr>
        <w:tc>
          <w:tcPr>
            <w:tcW w:type="dxa" w:w="3629"/>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Domain</w:t>
            </w:r>
          </w:p>
        </w:tc>
        <w:tc>
          <w:tcPr>
            <w:tcW w:type="dxa" w:w="1210"/>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Items</w:t>
            </w:r>
          </w:p>
        </w:tc>
        <w:tc>
          <w:tcPr>
            <w:tcW w:type="dxa" w:w="1411"/>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Maximum</w:t>
            </w:r>
          </w:p>
        </w:tc>
        <w:tc>
          <w:tcPr>
            <w:tcW w:type="dxa" w:w="181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Your score</w:t>
            </w:r>
          </w:p>
        </w:tc>
        <w:tc>
          <w:tcPr>
            <w:tcW w:type="dxa" w:w="2016"/>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Percentage</w:t>
            </w:r>
          </w:p>
        </w:tc>
      </w:tr>
      <w:tr>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One. Models</w:t>
            </w:r>
          </w:p>
        </w:tc>
        <w:tc>
          <w:tcPr>
            <w:tcW w:type="dxa" w:w="12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9</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36</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Two. Datasets</w:t>
            </w:r>
          </w:p>
        </w:tc>
        <w:tc>
          <w:tcPr>
            <w:tcW w:type="dxa" w:w="121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8</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32</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Three. Code and dependencies</w:t>
            </w:r>
          </w:p>
        </w:tc>
        <w:tc>
          <w:tcPr>
            <w:tcW w:type="dxa" w:w="12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8</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32</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Four. Hardware and infrastructure</w:t>
            </w:r>
          </w:p>
        </w:tc>
        <w:tc>
          <w:tcPr>
            <w:tcW w:type="dxa" w:w="121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6</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24</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Five. Data processing and pipeline</w:t>
            </w:r>
          </w:p>
        </w:tc>
        <w:tc>
          <w:tcPr>
            <w:tcW w:type="dxa" w:w="12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7</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28</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Six. Governance and accountability</w:t>
            </w:r>
          </w:p>
        </w:tc>
        <w:tc>
          <w:tcPr>
            <w:tcW w:type="dxa" w:w="121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8</w:t>
            </w:r>
          </w:p>
        </w:tc>
        <w:tc>
          <w:tcPr>
            <w:tcW w:type="dxa" w:w="141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32</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Total</w:t>
            </w:r>
          </w:p>
        </w:tc>
        <w:tc>
          <w:tcPr>
            <w:tcW w:type="dxa" w:w="121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46</w:t>
            </w:r>
          </w:p>
        </w:tc>
        <w:tc>
          <w:tcPr>
            <w:tcW w:type="dxa" w:w="141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184</w:t>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3"/>
        <w:spacing w:after="40" w:before="180"/>
      </w:pPr>
      <w:r>
        <w:rPr>
          <w:rFonts w:ascii="Arial" w:cs="Arial" w:eastAsia="Arial" w:hAnsi="Arial"/>
          <w:b/>
          <w:bCs/>
          <w:i w:val="false"/>
          <w:iCs w:val="false"/>
          <w:caps w:val="false"/>
          <w:color w:val="1A2A3A"/>
          <w:sz w:val="21"/>
          <w:szCs w:val="21"/>
        </w:rPr>
        <w:t xml:space="preserve">9.1 Readiness bands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13"/>
        <w:gridCol w:w="1814"/>
        <w:gridCol w:w="6653"/>
      </w:tblGrid>
      <w:tr>
        <w:trPr>
          <w:tblHeader/>
        </w:trPr>
        <w:tc>
          <w:tcPr>
            <w:tcW w:type="dxa" w:w="161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Percentage</w:t>
            </w:r>
          </w:p>
        </w:tc>
        <w:tc>
          <w:tcPr>
            <w:tcW w:type="dxa" w:w="1814"/>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Readiness</w:t>
            </w:r>
          </w:p>
        </w:tc>
        <w:tc>
          <w:tcPr>
            <w:tcW w:type="dxa" w:w="665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this means in practice</w:t>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Below 30</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Not ready</w:t>
            </w:r>
          </w:p>
        </w:tc>
        <w:tc>
          <w:tcPr>
            <w:tcW w:type="dxa" w:w="665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 documentation request would trigger a project. Start with Domain One and Domain Six; identification and ownership come before completeness.</w:t>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30 to 54</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Reactive</w:t>
            </w:r>
          </w:p>
        </w:tc>
        <w:tc>
          <w:tcPr>
            <w:tcW w:type="dxa" w:w="665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You can respond, slowly, with individual effort. The risk is inconsistency between two answers given to two different audiences.</w:t>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55 to 74</w:t>
            </w:r>
          </w:p>
        </w:tc>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Managed</w:t>
            </w:r>
          </w:p>
        </w:tc>
        <w:tc>
          <w:tcPr>
            <w:tcW w:type="dxa" w:w="665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You can respond reliably for in scope systems. Focus next on automation and on supplier bills of materials, which are usually the weakest remaining area.</w:t>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75 and above</w:t>
            </w:r>
          </w:p>
        </w:tc>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Demonstrable</w:t>
            </w:r>
          </w:p>
        </w:tc>
        <w:tc>
          <w:tcPr>
            <w:tcW w:type="dxa" w:w="665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artefact is current without being asked for. This is the position from which the inventory becomes useful for security response rather than only for compliance.</w:t>
            </w:r>
          </w:p>
        </w:tc>
      </w:tr>
    </w:tbl>
    <w:p>
      <w:pPr>
        <w:pStyle w:val="Heading3"/>
        <w:spacing w:after="40" w:before="180"/>
      </w:pPr>
      <w:r>
        <w:rPr>
          <w:rFonts w:ascii="Arial" w:cs="Arial" w:eastAsia="Arial" w:hAnsi="Arial"/>
          <w:b/>
          <w:bCs/>
          <w:i w:val="false"/>
          <w:iCs w:val="false"/>
          <w:caps w:val="false"/>
          <w:color w:val="1A2A3A"/>
          <w:sz w:val="21"/>
          <w:szCs w:val="21"/>
        </w:rPr>
        <w:t xml:space="preserve">9.2 The lowest scoring domain is not always where to start</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If Domain Six scores low, start there regardless of the other scores. Without named owners and current classification, improvements in the other five domains have nobody to maintain them and decay within two quarters.</w:t>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10. Procurement Language</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Adapt with your legal team. The purpose of these clauses is to make the artefact a deliverable rather than a request, because a supplier who has not committed to provide it will not have built the capability to produce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18"/>
        <w:gridCol w:w="7862"/>
      </w:tblGrid>
      <w:tr>
        <w:trPr>
          <w:tblHeader/>
        </w:trPr>
        <w:tc>
          <w:tcPr>
            <w:tcW w:type="dxa" w:w="2218"/>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Clause purpose</w:t>
            </w:r>
          </w:p>
        </w:tc>
        <w:tc>
          <w:tcPr>
            <w:tcW w:type="dxa" w:w="7862"/>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Draft language to adapt</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Delivery obligation</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Supplier shall deliver, at [FREQUENCY] and on each material change, a machine readable bill of materials for each AI component supplied, in [CycloneDX machine learning / SPDX AI profile] format or an agreed equivalent.</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Minimum content</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bill of materials shall identify each model, dataset, framework, tool interface and external service, together with version, origin, licence and, where applicable, the jurisdictions in which processing occurs.</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Change notification</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Supplier shall notify [ORGANIZATION] no later than [PERIOD] before any change to a model, model version, training data source, or tool interface that could reasonably affect system behaviour or regulatory classification.</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Completeness</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Where a field cannot be populated, Supplier shall state that it cannot be populated and why, rather than omitting it. Omission shall be treated as non delivery.</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Flow down</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Supplier shall impose equivalent obligations on any subprocessor whose models or datasets form part of the supplied system.</w:t>
            </w:r>
          </w:p>
        </w:tc>
      </w:tr>
      <w:tr>
        <w:tc>
          <w:tcPr>
            <w:tcW w:type="dxa" w:w="2218"/>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Audit</w:t>
            </w:r>
          </w:p>
        </w:tc>
        <w:tc>
          <w:tcPr>
            <w:tcW w:type="dxa" w:w="786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[ORGANIZATION] may verify the bill of materials against the delivered system, on [NOTICE], no more than [FREQUENCY].</w:t>
            </w:r>
          </w:p>
        </w:tc>
      </w:tr>
      <w:tr>
        <w:tc>
          <w:tcPr>
            <w:tcW w:type="dxa" w:w="2218"/>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Remedy</w:t>
            </w:r>
          </w:p>
        </w:tc>
        <w:tc>
          <w:tcPr>
            <w:tcW w:type="dxa" w:w="786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Persistent failure to deliver a complete bill of materials shall constitute a material breach entitling [ORGANIZATION] to [REMEDY].</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11. Gaps Seen Most Often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3629"/>
        <w:gridCol w:w="4032"/>
      </w:tblGrid>
      <w:tr>
        <w:trPr>
          <w:tblHeader/>
        </w:trPr>
        <w:tc>
          <w:tcPr>
            <w:tcW w:type="dxa" w:w="2419"/>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Gap</w:t>
            </w:r>
          </w:p>
        </w:tc>
        <w:tc>
          <w:tcPr>
            <w:tcW w:type="dxa" w:w="3629"/>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Why it persists</w:t>
            </w:r>
          </w:p>
        </w:tc>
        <w:tc>
          <w:tcPr>
            <w:tcW w:type="dxa" w:w="4032"/>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First step to close it</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Retrieval corpora not inventoried</w:t>
            </w:r>
          </w:p>
        </w:tc>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They are governed as content repositories, not as model inputs.</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Add retrieval sources to the inventory schema, then populate for Tier 3 and above first.</w:t>
            </w:r>
          </w:p>
        </w:tc>
      </w:tr>
      <w:tr>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Tool and connector scope undocumented</w:t>
            </w:r>
          </w:p>
        </w:tc>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 tool list lives in configuration, not in documentation.</w:t>
            </w:r>
          </w:p>
        </w:tc>
        <w:tc>
          <w:tcPr>
            <w:tcW w:type="dxa" w:w="403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Generate the tool list from configuration rather than maintaining it separately.</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Silent provider side model updates</w:t>
            </w:r>
          </w:p>
        </w:tc>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Nobody owns detecting a change the provider does not announce.</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Pin versions where the provider allows it; where it does not, record that as an accepted risk.</w:t>
            </w:r>
          </w:p>
        </w:tc>
      </w:tr>
      <w:tr>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Prompts and system instructions not versioned</w:t>
            </w:r>
          </w:p>
        </w:tc>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They were authored in a console, not committed to a repository.</w:t>
            </w:r>
          </w:p>
        </w:tc>
        <w:tc>
          <w:tcPr>
            <w:tcW w:type="dxa" w:w="403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Move them into version control. This is usually a week of work and closes a whole class of gap.</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Supplier artefacts not collected</w:t>
            </w:r>
          </w:p>
        </w:tc>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Nobody asked, because there was no contractual basis to ask.</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Add the Section 10 clauses at the next renewal cycle rather than attempting retrospective collection.</w:t>
            </w:r>
          </w:p>
        </w:tc>
      </w:tr>
      <w:tr>
        <w:tc>
          <w:tcPr>
            <w:tcW w:type="dxa" w:w="241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Manual generation</w:t>
            </w:r>
          </w:p>
        </w:tc>
        <w:tc>
          <w:tcPr>
            <w:tcW w:type="dxa" w:w="3629"/>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It was built for one audit and never automated.</w:t>
            </w:r>
          </w:p>
        </w:tc>
        <w:tc>
          <w:tcPr>
            <w:tcW w:type="dxa" w:w="403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Automate generation for the three systems most likely to be asked about, then extend.</w:t>
            </w:r>
          </w:p>
        </w:tc>
      </w:tr>
      <w:tr>
        <w:tc>
          <w:tcPr>
            <w:tcW w:type="dxa" w:w="241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Cryptographic components missing</w:t>
            </w:r>
          </w:p>
        </w:tc>
        <w:tc>
          <w:tcPr>
            <w:tcW w:type="dxa" w:w="3629"/>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AI inventory and cryptographic inventory are held by different teams.</w:t>
            </w:r>
          </w:p>
        </w:tc>
        <w:tc>
          <w:tcPr>
            <w:tcW w:type="dxa" w:w="403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Cross reference the two registers rather than merging them.</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475569"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WHERE THIS CHECKLIST CAME FROM</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The regulatory context, the transparency argument and the place of inventory within the wider governance model are set out in When Agents Rule, Chapters 7 and 8. Use this checklist alongside the agent inventory, the Agent Inventory workbook, which holds the system level register this artefact describes the contents of.</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Provided for internal use within your own organization. Not legal advice. Standards and regulatory references were current at the September 2026 build date.</w:t>
            </w:r>
          </w:p>
        </w:tc>
      </w:tr>
    </w:tbl>
    <w:sectPr>
      <w:headerReference w:type="default" r:id="rId7"/>
      <w:footerReference w:type="default" r:id="rId8"/>
      <w:pgSz w:w="12240" w:h="15840" w:orient="portrait"/>
      <w:pgMar w:top="1080" w:right="1080" w:bottom="1080" w:left="108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9DF" w:sz="4" w:space="6"/>
      </w:pBdr>
      <w:tabs>
        <w:tab w:val="right" w:pos="10080"/>
      </w:tabs>
      <w:spacing w:before="40"/>
      <w:jc w:val="left"/>
    </w:pPr>
    <w:r>
      <w:rPr>
        <w:rFonts w:ascii="Arial" w:cs="Arial" w:eastAsia="Arial" w:hAnsi="Arial"/>
        <w:b w:val="false"/>
        <w:bCs w:val="false"/>
        <w:i w:val="false"/>
        <w:iCs w:val="false"/>
        <w:caps w:val="false"/>
        <w:color w:val="475569"/>
        <w:sz w:val="14"/>
        <w:szCs w:val="14"/>
      </w:rPr>
      <w:t xml:space="preserve">Companion toolkit for When Agents Rule by Steven Oppenheim. Free for internal use. Not legal, technical or financial advice.</w:t>
    </w:r>
    <w:r>
      <w:rPr>
        <w:rFonts w:ascii="Arial" w:cs="Arial" w:eastAsia="Arial" w:hAnsi="Arial"/>
        <w:color w:val="475569"/>
        <w:sz w:val="14"/>
        <w:szCs w:val="14"/>
      </w:rPr>
      <w:t xml:space="preserve">	</w:t>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59669" w:sz="6" w:space="4"/>
      </w:pBdr>
      <w:spacing w:after="40"/>
    </w:pPr>
    <w:r>
      <w:rPr>
        <w:rFonts w:ascii="Arial" w:cs="Arial" w:eastAsia="Arial" w:hAnsi="Arial"/>
        <w:b/>
        <w:bCs/>
        <w:i w:val="false"/>
        <w:iCs w:val="false"/>
        <w:caps/>
        <w:color w:val="C9A227"/>
        <w:sz w:val="16"/>
        <w:szCs w:val="16"/>
      </w:rPr>
      <w:t xml:space="preserve">WHEN AGENTS RULE</w:t>
    </w:r>
    <w:r>
      <w:rPr>
        <w:rFonts w:ascii="Arial" w:cs="Arial" w:eastAsia="Arial" w:hAnsi="Arial"/>
        <w:b w:val="false"/>
        <w:bCs w:val="false"/>
        <w:i w:val="false"/>
        <w:iCs w:val="false"/>
        <w:caps w:val="false"/>
        <w:color w:val="475569"/>
        <w:sz w:val="16"/>
        <w:szCs w:val="16"/>
      </w:rPr>
      <w:t xml:space="preserve">     AIBOM READINESS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1A2A3A"/>
        <w:sz w:val="20"/>
        <w:szCs w:val="20"/>
      </w:rPr>
    </w:lvl>
    <w:lvl w:ilvl="1" w15:tentative="1">
      <w:start w:val="1"/>
      <w:numFmt w:val="bullet"/>
      <w:lvlText w:val="◦"/>
      <w:lvlJc w:val="left"/>
      <w:pPr>
        <w:ind w:left="720" w:hanging="220"/>
      </w:pPr>
      <w:rPr>
        <w:rFonts w:ascii="Arial" w:cs="Arial" w:eastAsia="Arial" w:hAnsi="Arial"/>
        <w:color w:val="1A2A3A"/>
        <w:sz w:val="20"/>
        <w:szCs w:val="20"/>
      </w:rPr>
    </w:lvl>
  </w:abstractNum>
  <w:abstractNum w:abstractNumId="3" w15:restartNumberingAfterBreak="0">
    <w:multiLevelType w:val="hybridMultilevel"/>
    <w:lvl w:ilvl="0" w15:tentative="1">
      <w:start w:val="1"/>
      <w:numFmt w:val="decimal"/>
      <w:lvlText w:val="%1."/>
      <w:lvlJc w:val="left"/>
      <w:pPr>
        <w:ind w:left="400" w:hanging="260"/>
      </w:pPr>
      <w:rPr>
        <w:rFonts w:ascii="Arial" w:cs="Arial" w:eastAsia="Arial" w:hAnsi="Arial"/>
        <w:b/>
        <w:bCs/>
        <w:color w:val="1A2A3A"/>
        <w:sz w:val="20"/>
        <w:szCs w:val="20"/>
      </w:rPr>
    </w:lvl>
    <w:lvl w:ilvl="1" w15:tentative="1">
      <w:start w:val="1"/>
      <w:numFmt w:val="lowerLetter"/>
      <w:lvlText w:val="%2."/>
      <w:lvlJc w:val="left"/>
      <w:pPr>
        <w:ind w:left="760" w:hanging="260"/>
      </w:pPr>
      <w:rPr>
        <w:rFonts w:ascii="Arial" w:cs="Arial" w:eastAsia="Arial" w:hAnsi="Arial"/>
        <w:color w:val="1A2A3A"/>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Bill of Materials Readiness Checklist</dc:title>
  <dc:creator>Steven Oppenheim</dc:creator>
  <dc:description>When Agents Rule companion toolkit, Regulatory and Sovereignty group</dc:description>
  <cp:lastModifiedBy>Un-named</cp:lastModifiedBy>
  <cp:revision>1</cp:revision>
  <dcterms:created xsi:type="dcterms:W3CDTF">2026-09-13T12:03:43.256Z</dcterms:created>
  <dcterms:modified xsi:type="dcterms:W3CDTF">2026-09-13T12:03:43.256Z</dcterms:modified>
</cp:coreProperties>
</file>

<file path=docProps/custom.xml><?xml version="1.0" encoding="utf-8"?>
<Properties xmlns="http://schemas.openxmlformats.org/officeDocument/2006/custom-properties" xmlns:vt="http://schemas.openxmlformats.org/officeDocument/2006/docPropsVTypes"/>
</file>