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0"/>
      </w:pPr>
      <w:r>
        <w:rPr>
          <w:rFonts w:ascii="Arial" w:cs="Arial" w:eastAsia="Arial" w:hAnsi="Arial"/>
          <w:b w:val="false"/>
          <w:bCs w:val="false"/>
          <w:i w:val="false"/>
          <w:iCs w:val="false"/>
          <w:caps w:val="false"/>
          <w:color w:val="222222"/>
          <w:sz w:val="20"/>
          <w:szCs w:val="20"/>
        </w:rPr>
        <w:t xml:space="preserve"/>
      </w:r>
    </w:p>
    <w:p>
      <w:pPr>
        <w:keepNext w:val="false"/>
        <w:spacing w:after="40" w:before="60" w:line="276"/>
        <w:jc w:val="left"/>
      </w:pPr>
      <w:r>
        <w:rPr>
          <w:rFonts w:ascii="Arial" w:cs="Arial" w:eastAsia="Arial" w:hAnsi="Arial"/>
          <w:b/>
          <w:bCs/>
          <w:i w:val="false"/>
          <w:iCs w:val="false"/>
          <w:caps/>
          <w:color w:val="C9A227"/>
          <w:sz w:val="18"/>
          <w:szCs w:val="18"/>
        </w:rPr>
        <w:t xml:space="preserve">WHEN AGENTS RULE  //  COMPANION TOOLKIT</w:t>
      </w:r>
    </w:p>
    <w:p>
      <w:pPr>
        <w:keepNext w:val="false"/>
        <w:spacing w:after="240" w:before="60" w:line="276"/>
        <w:jc w:val="left"/>
      </w:pPr>
      <w:r>
        <w:rPr>
          <w:rFonts w:ascii="Arial" w:cs="Arial" w:eastAsia="Arial" w:hAnsi="Arial"/>
          <w:b/>
          <w:bCs/>
          <w:i w:val="false"/>
          <w:iCs w:val="false"/>
          <w:caps w:val="false"/>
          <w:color w:val="475569"/>
          <w:sz w:val="18"/>
          <w:szCs w:val="18"/>
        </w:rPr>
        <w:t xml:space="preserve">AGENT GOVERNANCE GROUP</w:t>
      </w:r>
    </w:p>
    <w:p>
      <w:pPr>
        <w:spacing w:after="100" w:before="0" w:line="300"/>
      </w:pPr>
      <w:r>
        <w:rPr>
          <w:rFonts w:ascii="Arial" w:cs="Arial" w:eastAsia="Arial" w:hAnsi="Arial"/>
          <w:b/>
          <w:bCs/>
          <w:i w:val="false"/>
          <w:iCs w:val="false"/>
          <w:caps w:val="false"/>
          <w:color w:val="1A2A3A"/>
          <w:sz w:val="48"/>
          <w:szCs w:val="48"/>
        </w:rPr>
        <w:t xml:space="preserve">Agent Governance Charter</w:t>
      </w:r>
    </w:p>
    <w:p>
      <w:pPr>
        <w:pBdr>
          <w:bottom w:val="single" w:color="7C3AED" w:sz="18" w:space="4"/>
        </w:pBdr>
        <w:spacing w:after="200" w:before="0"/>
      </w:pPr>
      <w:r>
        <w:rPr>
          <w:rFonts w:ascii="Arial" w:cs="Arial" w:eastAsia="Arial" w:hAnsi="Arial"/>
          <w:b w:val="false"/>
          <w:bCs w:val="false"/>
          <w:i w:val="false"/>
          <w:iCs w:val="false"/>
          <w:caps w:val="false"/>
          <w:color w:val="222222"/>
          <w:sz w:val="20"/>
          <w:szCs w:val="20"/>
        </w:rPr>
        <w:t xml:space="preserve"/>
      </w:r>
    </w:p>
    <w:p>
      <w:pPr>
        <w:keepNext w:val="false"/>
        <w:spacing w:after="300" w:before="60" w:line="300"/>
        <w:jc w:val="left"/>
      </w:pPr>
      <w:r>
        <w:rPr>
          <w:rFonts w:ascii="Arial" w:cs="Arial" w:eastAsia="Arial" w:hAnsi="Arial"/>
          <w:b w:val="false"/>
          <w:bCs w:val="false"/>
          <w:i/>
          <w:iCs/>
          <w:caps w:val="false"/>
          <w:color w:val="2D4156"/>
          <w:sz w:val="24"/>
          <w:szCs w:val="24"/>
        </w:rPr>
        <w:t xml:space="preserve">A ready to adapt charter establishing who decides what an autonomous system may do, what controls apply at each level of autonomy, and when a decision leaves the technology function and reaches the board.</w:t>
      </w:r>
    </w:p>
    <w:p>
      <w:pPr>
        <w:keepNext w:val="false"/>
        <w:spacing w:after="300" w:before="60" w:line="280"/>
        <w:jc w:val="left"/>
      </w:pPr>
      <w:r>
        <w:rPr>
          <w:rFonts w:ascii="Arial" w:cs="Arial" w:eastAsia="Arial" w:hAnsi="Arial"/>
          <w:b w:val="false"/>
          <w:bCs w:val="false"/>
          <w:i w:val="false"/>
          <w:iCs w:val="false"/>
          <w:caps w:val="false"/>
          <w:color w:val="4A5568"/>
          <w:sz w:val="20"/>
          <w:szCs w:val="20"/>
        </w:rPr>
        <w:t xml:space="preserve">For the CIO, CISO, General Counsel and Chief Risk Officer who need a governance instrument that survives contact with an incident. Drafted to be adopted in one governance cycle rather than rewritten over three.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7C3AED"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BEFORE YOU USE THIS DOCUMENT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This is a template, not a policy. Every bracketed placeholder is a decision that belongs to your organization, and a charter adopted with the placeholders left in is worse than no charter, because it documents an intention nobody is accountable for.</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Adapt it with your General Counsel before adoption. Governance language that has not been reviewed by legal will not hold in the moment it is needed.</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The control floors in Section 6 are deliberately set as minimums. Raise them where your regulator, sector or risk appetite demands more. Do not lower them without recording who accepted the residual risk.</w:t>
            </w:r>
          </w:p>
        </w:tc>
      </w:tr>
    </w:tbl>
    <w:p>
      <w:pPr>
        <w:spacing w:after="0" w:before="300"/>
      </w:pPr>
      <w:r>
        <w:rPr>
          <w:rFonts w:ascii="Arial" w:cs="Arial" w:eastAsia="Arial" w:hAnsi="Arial"/>
          <w:b w:val="false"/>
          <w:bCs w:val="false"/>
          <w:i w:val="false"/>
          <w:iCs w:val="false"/>
          <w:caps w:val="false"/>
          <w:color w:val="222222"/>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rPr>
          <w:tblHeader/>
        </w:trPr>
        <w:tc>
          <w:tcPr>
            <w:tcW w:type="dxa" w:w="3024"/>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705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Value</w:t>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Document owner</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Organization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Version and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Approved by</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Next review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Classification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20" w:line="276"/>
        <w:jc w:val="left"/>
      </w:pPr>
      <w:r>
        <w:rPr>
          <w:rFonts w:ascii="Arial" w:cs="Arial" w:eastAsia="Arial" w:hAnsi="Arial"/>
          <w:b w:val="false"/>
          <w:bCs w:val="false"/>
          <w:i/>
          <w:iCs/>
          <w:caps w:val="false"/>
          <w:color w:val="4A5568"/>
          <w:sz w:val="17"/>
          <w:szCs w:val="17"/>
        </w:rPr>
        <w:t xml:space="preserve">Yellow cells are yours to complete. Every bracketed placeholder in this document marks a decision your organization has to make rather than inherit.</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 Purpose and Authority</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This charter establishes the governance framework under which [ORGANIZATION] designs, approves, operates, monitors and withdraws artificial intelligence systems capable of taking action or making decisions without a human reviewing each one.</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It exists because accountability for an autonomous decision does not transfer to the system that made it. When an AI system acts, a named human remains answerable. This charter names those humans in advance rather than identifying them during an incident.</w:t>
      </w:r>
    </w:p>
    <w:p>
      <w:pPr>
        <w:pStyle w:val="Heading3"/>
        <w:spacing w:after="40" w:before="180"/>
      </w:pPr>
      <w:r>
        <w:rPr>
          <w:rFonts w:ascii="Arial" w:cs="Arial" w:eastAsia="Arial" w:hAnsi="Arial"/>
          <w:b/>
          <w:bCs/>
          <w:i w:val="false"/>
          <w:iCs w:val="false"/>
          <w:caps w:val="false"/>
          <w:color w:val="1A2A3A"/>
          <w:sz w:val="21"/>
          <w:szCs w:val="21"/>
        </w:rPr>
        <w:t xml:space="preserve">Authority</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This charter is issued under the authority of [APPROVING BODY: e.g. the Board Risk Committee / the Executive Committee] and takes effect on [DATE]. It applies to every business unit, subsidiary and jurisdiction in which [ORGANIZATION] operates, and to third parties operating AI systems on [ORGANIZATION] data or under [ORGANIZATION] brand.</w:t>
      </w:r>
    </w:p>
    <w:p>
      <w:pPr>
        <w:pStyle w:val="Heading3"/>
        <w:spacing w:after="40" w:before="180"/>
      </w:pPr>
      <w:r>
        <w:rPr>
          <w:rFonts w:ascii="Arial" w:cs="Arial" w:eastAsia="Arial" w:hAnsi="Arial"/>
          <w:b/>
          <w:bCs/>
          <w:i w:val="false"/>
          <w:iCs w:val="false"/>
          <w:caps w:val="false"/>
          <w:color w:val="1A2A3A"/>
          <w:sz w:val="21"/>
          <w:szCs w:val="21"/>
        </w:rPr>
        <w:t xml:space="preserve">Relationship to existing policy</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This charter does not replace existing information security, data protection, model risk, procurement or change management policy. It sits alongside them and takes precedence only where an AI system acts autonomously and no existing policy addresses that autonomy. Conflicts are resolved by [NAMED ROLE].</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2. Scope</w:t>
      </w:r>
    </w:p>
    <w:p>
      <w:pPr>
        <w:pStyle w:val="Heading3"/>
        <w:spacing w:after="40" w:before="180"/>
      </w:pPr>
      <w:r>
        <w:rPr>
          <w:rFonts w:ascii="Arial" w:cs="Arial" w:eastAsia="Arial" w:hAnsi="Arial"/>
          <w:b/>
          <w:bCs/>
          <w:i w:val="false"/>
          <w:iCs w:val="false"/>
          <w:caps w:val="false"/>
          <w:color w:val="1A2A3A"/>
          <w:sz w:val="21"/>
          <w:szCs w:val="21"/>
        </w:rPr>
        <w:t xml:space="preserve">In scope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Any software system that selects among actions, or initiates an action, based on model inference rather than solely on deterministic rules.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Any such system operating at L1 or above on the autonomy ladder in Section 5, whether built internally, licensed from a vendor, or enabled as a feature within software already in use.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Agent capability switched on inside existing platforms, including capability that arrived through a vendor release rather than a procurement decision.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Systems operated by contractors, partners or managed service providers that act on [ORGANIZATION] data or on behalf of [ORGANIZATION].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Development and pilot systems that touch production data or production systems, regardless of their project status.</w:t>
      </w:r>
    </w:p>
    <w:p>
      <w:pPr>
        <w:pStyle w:val="Heading3"/>
        <w:spacing w:after="40" w:before="180"/>
      </w:pPr>
      <w:r>
        <w:rPr>
          <w:rFonts w:ascii="Arial" w:cs="Arial" w:eastAsia="Arial" w:hAnsi="Arial"/>
          <w:b/>
          <w:bCs/>
          <w:i w:val="false"/>
          <w:iCs w:val="false"/>
          <w:caps w:val="false"/>
          <w:color w:val="1A2A3A"/>
          <w:sz w:val="21"/>
          <w:szCs w:val="21"/>
        </w:rPr>
        <w:t xml:space="preserve">Out of scope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Deterministic rule engines and workflow automation with no model inference in the decision path, which remain governed by existing change management.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Model assisted drafting and analysis where a human authors, reviews and issues every output, and the system takes no action of its 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7C3AED"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SCOPE TEST TO APPLY WHEN THERE IS DOUBT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Ask one question. If this system did the wrong thing at three o'clock on a Saturday morning, would anyone find out before Monday, and could it be undone?</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If the answer to either half is no, the system is in scope regardless of how it was procured, what it is called, or which budget paid for it.</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3. Definitions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18"/>
        <w:gridCol w:w="7862"/>
      </w:tblGrid>
      <w:tr>
        <w:trPr>
          <w:tblHeader/>
        </w:trPr>
        <w:tc>
          <w:tcPr>
            <w:tcW w:type="dxa" w:w="2218"/>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Term</w:t>
            </w:r>
          </w:p>
        </w:tc>
        <w:tc>
          <w:tcPr>
            <w:tcW w:type="dxa" w:w="7862"/>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Definition for the purposes of this charter</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Agent</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 AI system that can select or initiate actions toward a goal, rather than only producing output for a human to act on.</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Autonomy level</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classification assigned under Section 5, describing how much human involvement sits in the decision path.</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Business owner</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named individual accountable for the business outcomes the system produces. Always a person, never a team or a function.</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Technical owner</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named individual accountable for the system operating as designed and for executing containment when required.</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Decision boundary</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documented set of actions a system is permitted to take, and the conditions under which it must stop and escalate instead.</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Containment</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of the four graduated responses defined in the containment procedure: pause, constrain, revoke, decommission.</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Shadow AI</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in scope system operating without a record in the agent inventory and without a named business owner.</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Governance tier</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set of mandatory controls that applies to a system, derived from its inherent risk score under Section 6.</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Material change</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change to a system's decision boundary, data access, tool access, autonomy level or external exposure. Material change requires reapproval; routine model updates within an unchanged boundary do not.</w:t>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4. The Agent Governance Council</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A standing council holds decision rights over AI system approval, classification and withdrawal. The council is a decision making body, not a review forum. It has the authority to refuse deployment and to require withdrawal.</w:t>
      </w:r>
    </w:p>
    <w:p>
      <w:pPr>
        <w:pStyle w:val="Heading3"/>
        <w:spacing w:after="40" w:before="180"/>
      </w:pPr>
      <w:r>
        <w:rPr>
          <w:rFonts w:ascii="Arial" w:cs="Arial" w:eastAsia="Arial" w:hAnsi="Arial"/>
          <w:b/>
          <w:bCs/>
          <w:i w:val="false"/>
          <w:iCs w:val="false"/>
          <w:caps w:val="false"/>
          <w:color w:val="1A2A3A"/>
          <w:sz w:val="21"/>
          <w:szCs w:val="21"/>
        </w:rPr>
        <w:t xml:space="preserve">4.1 Membership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3024"/>
        <w:gridCol w:w="2822"/>
        <w:gridCol w:w="2218"/>
      </w:tblGrid>
      <w:tr>
        <w:trPr>
          <w:tblHeader/>
        </w:trPr>
        <w:tc>
          <w:tcPr>
            <w:tcW w:type="dxa" w:w="2016"/>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Seat</w:t>
            </w:r>
          </w:p>
        </w:tc>
        <w:tc>
          <w:tcPr>
            <w:tcW w:type="dxa" w:w="3024"/>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Role held by</w:t>
            </w:r>
          </w:p>
        </w:tc>
        <w:tc>
          <w:tcPr>
            <w:tcW w:type="dxa" w:w="2822"/>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Named individual</w:t>
            </w:r>
          </w:p>
        </w:tc>
        <w:tc>
          <w:tcPr>
            <w:tcW w:type="dxa" w:w="2218"/>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Vote</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Chair</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Chief Information Officer]</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 casting</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Security</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Chief Information Security Officer]</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Legal and regulatory</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General Counsel or delegate]</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Risk</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Chief Risk Officer or delegate]</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Data protection</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Data Protection Officer]</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Business representation</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[rotating business unit leader]</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Yes</w:t>
            </w:r>
          </w:p>
        </w:tc>
      </w:tr>
      <w:tr>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Architecture</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[e.g. Chief Architect]</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Advisory</w:t>
            </w:r>
          </w:p>
        </w:tc>
      </w:tr>
      <w:tr>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Internal audit</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[audit representative]</w:t>
            </w:r>
          </w:p>
        </w:tc>
        <w:tc>
          <w:tcPr>
            <w:tcW w:type="dxa" w:w="282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Observer</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Quorum is [NUMBER] voting members including the Chair and at least one of Security, Legal or Risk. A deployment decision taken without that combination present is not a valid council decision.</w:t>
      </w:r>
    </w:p>
    <w:p>
      <w:pPr>
        <w:pStyle w:val="Heading3"/>
        <w:spacing w:after="40" w:before="180"/>
      </w:pPr>
      <w:r>
        <w:rPr>
          <w:rFonts w:ascii="Arial" w:cs="Arial" w:eastAsia="Arial" w:hAnsi="Arial"/>
          <w:b/>
          <w:bCs/>
          <w:i w:val="false"/>
          <w:iCs w:val="false"/>
          <w:caps w:val="false"/>
          <w:color w:val="1A2A3A"/>
          <w:sz w:val="21"/>
          <w:szCs w:val="21"/>
        </w:rPr>
        <w:t xml:space="preserve">4.2 Cadence and standing agenda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12"/>
        <w:gridCol w:w="6250"/>
        <w:gridCol w:w="2218"/>
      </w:tblGrid>
      <w:tr>
        <w:trPr>
          <w:tblHeader/>
        </w:trPr>
        <w:tc>
          <w:tcPr>
            <w:tcW w:type="dxa" w:w="161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Cadence</w:t>
            </w:r>
          </w:p>
        </w:tc>
        <w:tc>
          <w:tcPr>
            <w:tcW w:type="dxa" w:w="6250"/>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Standing agenda item</w:t>
            </w:r>
          </w:p>
        </w:tc>
        <w:tc>
          <w:tcPr>
            <w:tcW w:type="dxa" w:w="221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Owner</w:t>
            </w:r>
          </w:p>
        </w:tc>
      </w:tr>
      <w:tr>
        <w:tc>
          <w:tcPr>
            <w:tcW w:type="dxa" w:w="16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Every meeting</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New system approvals and material change reapprovals awaiting decision.</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w:t>
            </w:r>
          </w:p>
        </w:tc>
      </w:tr>
      <w:tr>
        <w:tc>
          <w:tcPr>
            <w:tcW w:type="dxa" w:w="16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Every meeting</w:t>
            </w:r>
          </w:p>
        </w:tc>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Open control gaps from the agent inventory, with movement since the prior meeting.</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Technical owners</w:t>
            </w:r>
          </w:p>
        </w:tc>
      </w:tr>
      <w:tr>
        <w:tc>
          <w:tcPr>
            <w:tcW w:type="dxa" w:w="16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Every meeting</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Incidents, near misses and containment actions taken since the prior meeting.</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Security</w:t>
            </w:r>
          </w:p>
        </w:tc>
      </w:tr>
      <w:tr>
        <w:tc>
          <w:tcPr>
            <w:tcW w:type="dxa" w:w="16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Monthly</w:t>
            </w:r>
          </w:p>
        </w:tc>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Shadow AI discovery sweep findings and disposition of each find.</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Security</w:t>
            </w:r>
          </w:p>
        </w:tc>
      </w:tr>
      <w:tr>
        <w:tc>
          <w:tcPr>
            <w:tcW w:type="dxa" w:w="16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Quarterly</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Full inventory review, including systems whose autonomy has drifted above their approved level.</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w:t>
            </w:r>
          </w:p>
        </w:tc>
      </w:tr>
      <w:tr>
        <w:tc>
          <w:tcPr>
            <w:tcW w:type="dxa" w:w="16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Quarterly</w:t>
            </w:r>
          </w:p>
        </w:tc>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Regulatory horizon: obligations entering force in the next twelve months.</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Legal and regulatory</w:t>
            </w:r>
          </w:p>
        </w:tc>
      </w:tr>
      <w:tr>
        <w:tc>
          <w:tcPr>
            <w:tcW w:type="dxa" w:w="16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Quarterly</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Cost per compliant decision trajectory and governance spend against plan.</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w:t>
            </w:r>
          </w:p>
        </w:tc>
      </w:tr>
      <w:tr>
        <w:tc>
          <w:tcPr>
            <w:tcW w:type="dxa" w:w="16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Quarterly</w:t>
            </w:r>
          </w:p>
        </w:tc>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Containment drill results, including systems that failed their drill.</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Technical owners</w:t>
            </w:r>
          </w:p>
        </w:tc>
      </w:tr>
      <w:tr>
        <w:tc>
          <w:tcPr>
            <w:tcW w:type="dxa" w:w="16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Annually</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Charter review, control floor review, and independent assurance findings.</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Internal audit</w:t>
            </w:r>
          </w:p>
        </w:tc>
      </w:tr>
    </w:tbl>
    <w:p>
      <w:pPr>
        <w:pStyle w:val="Heading3"/>
        <w:spacing w:after="40" w:before="180"/>
      </w:pPr>
      <w:r>
        <w:rPr>
          <w:rFonts w:ascii="Arial" w:cs="Arial" w:eastAsia="Arial" w:hAnsi="Arial"/>
          <w:b/>
          <w:bCs/>
          <w:i w:val="false"/>
          <w:iCs w:val="false"/>
          <w:caps w:val="false"/>
          <w:color w:val="1A2A3A"/>
          <w:sz w:val="21"/>
          <w:szCs w:val="21"/>
        </w:rPr>
        <w:t xml:space="preserve">4.3 Records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Council minutes record, for every decision: the system, its classification, the controls relied on, the dissent if any, and the named individual accountable. Minutes are retained for [RETENTION PERIOD] and are discoverable. They should be written on the assumption that they will one day be read by a regulator or a litigant rather than by a colleague.</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5. Mandatory Classification</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No in scope system enters or remains in production without a current autonomy classification and a named business owner. Classification is recorded in the agent inventory and reviewed at every material change and at least [FREQUENCY].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
        <w:gridCol w:w="5242"/>
        <w:gridCol w:w="3830"/>
      </w:tblGrid>
      <w:tr>
        <w:trPr>
          <w:tblHeader/>
        </w:trPr>
        <w:tc>
          <w:tcPr>
            <w:tcW w:type="dxa" w:w="1008"/>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Level</w:t>
            </w:r>
          </w:p>
        </w:tc>
        <w:tc>
          <w:tcPr>
            <w:tcW w:type="dxa" w:w="5242"/>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Operating description</w:t>
            </w:r>
          </w:p>
        </w:tc>
        <w:tc>
          <w:tcPr>
            <w:tcW w:type="dxa" w:w="3830"/>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Who sees the work</w:t>
            </w:r>
          </w:p>
        </w:tc>
      </w:tr>
      <w:tr>
        <w:tc>
          <w:tcPr>
            <w:tcW w:type="dxa" w:w="100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L0</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Executes predefined rules without variation. No model inference in the decision path.</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decision is determined in advance.</w:t>
            </w:r>
          </w:p>
        </w:tc>
      </w:tr>
      <w:tr>
        <w:tc>
          <w:tcPr>
            <w:tcW w:type="dxa" w:w="100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L1</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Makes simple decisions inside narrow parameters set in advance.</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human reviews a sample of outputs.</w:t>
            </w:r>
          </w:p>
        </w:tc>
      </w:tr>
      <w:tr>
        <w:tc>
          <w:tcPr>
            <w:tcW w:type="dxa" w:w="100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L2</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Handles routine tasks with minimal supervision across a defined workflow.</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human reviews samples and is alerted to exceptions.</w:t>
            </w:r>
          </w:p>
        </w:tc>
      </w:tr>
      <w:tr>
        <w:tc>
          <w:tcPr>
            <w:tcW w:type="dxa" w:w="100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L3</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Manages complex multi step workflows with periodic review rather than per decision review.</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human reviews on a documented cadence, after the fact.</w:t>
            </w:r>
          </w:p>
        </w:tc>
      </w:tr>
      <w:tr>
        <w:tc>
          <w:tcPr>
            <w:tcW w:type="dxa" w:w="100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L4</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Executes complex tasks and involves a human only when an exception condition fires.</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human sees exceptions only. Normal operation is unobserved.</w:t>
            </w:r>
          </w:p>
        </w:tc>
      </w:tr>
      <w:tr>
        <w:tc>
          <w:tcPr>
            <w:tcW w:type="dxa" w:w="100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L5</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Operates autonomously inside a defined domain without routine human involvement.</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 human sees individual decisions. Oversight is statistical.</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91C1C"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RULE THAT MATTERS MOST IN THIS SECTION</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 system is classified at the level it operates at today, not the level at which it was approved. Scope expansion without reclassification is the single most common governance failure, because it happens gradually, for good reasons, and nobody decides to do it.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Any change that moves a system up a level is a material change and requires council reapproval before the change reaches production.</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Where a system sits between two levels, it is classified at the higher level. Where classification is disputed, the dispute is resolved by the council, and the system operates at the higher level until resolved.</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6. Governance Tiers and Mandatory Control Floors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Each system receives an inherent risk score combining its autonomy level with the impact of its decisions. The score determines its governance tier. The tier determines the minimum controls that must be in place and evidenced. These are floors, not targets.</w:t>
      </w:r>
    </w:p>
    <w:p>
      <w:pPr>
        <w:pStyle w:val="Heading3"/>
        <w:spacing w:after="40" w:before="180"/>
      </w:pPr>
      <w:r>
        <w:rPr>
          <w:rFonts w:ascii="Arial" w:cs="Arial" w:eastAsia="Arial" w:hAnsi="Arial"/>
          <w:b/>
          <w:bCs/>
          <w:i w:val="false"/>
          <w:iCs w:val="false"/>
          <w:caps w:val="false"/>
          <w:color w:val="1A2A3A"/>
          <w:sz w:val="21"/>
          <w:szCs w:val="21"/>
        </w:rPr>
        <w:t xml:space="preserve">6.1 Determining the tier</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Score each system on autonomy and on impact using the method in the agent inventory workbook (the Agent Inventory workbook). Impact combines reversibility, data sensitivity, external exposure and the scope of action the system can take. The tier thresholds are set by [APPROVING BODY] and recorded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20"/>
        <w:gridCol w:w="3830"/>
        <w:gridCol w:w="3830"/>
      </w:tblGrid>
      <w:tr>
        <w:trPr>
          <w:tblHeader/>
        </w:trPr>
        <w:tc>
          <w:tcPr>
            <w:tcW w:type="dxa" w:w="2420"/>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Governance tier</w:t>
            </w:r>
          </w:p>
        </w:tc>
        <w:tc>
          <w:tcPr>
            <w:tcW w:type="dxa" w:w="3830"/>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Applies when</w:t>
            </w:r>
          </w:p>
        </w:tc>
        <w:tc>
          <w:tcPr>
            <w:tcW w:type="dxa" w:w="3830"/>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Approval authority</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1 Light</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Inherent risk score 0 to 4</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Technical owner, notified to council</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2 Standard</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Inherent risk score 5 to 9</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standard agenda</w:t>
            </w:r>
          </w:p>
        </w:tc>
      </w:tr>
      <w:tr>
        <w:tc>
          <w:tcPr>
            <w:tcW w:type="dxa" w:w="24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3 Enhanced</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Inherent risk score 10 to 14</w:t>
            </w:r>
          </w:p>
        </w:tc>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with Security and Legal present</w:t>
            </w:r>
          </w:p>
        </w:tc>
      </w:tr>
      <w:tr>
        <w:tc>
          <w:tcPr>
            <w:tcW w:type="dxa" w:w="24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4 Board Visible</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Inherent risk score 15 to 20, or any L5 system</w:t>
            </w:r>
          </w:p>
        </w:tc>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then reported to [BOARD COMMITTEE] before go live</w:t>
            </w:r>
          </w:p>
        </w:tc>
      </w:tr>
    </w:tbl>
    <w:p>
      <w:pPr>
        <w:pStyle w:val="Heading3"/>
        <w:spacing w:after="40" w:before="180"/>
      </w:pPr>
      <w:r>
        <w:rPr>
          <w:rFonts w:ascii="Arial" w:cs="Arial" w:eastAsia="Arial" w:hAnsi="Arial"/>
          <w:b/>
          <w:bCs/>
          <w:i w:val="false"/>
          <w:iCs w:val="false"/>
          <w:caps w:val="false"/>
          <w:color w:val="1A2A3A"/>
          <w:sz w:val="21"/>
          <w:szCs w:val="21"/>
        </w:rPr>
        <w:t xml:space="preserve">6.2 Mandatory controls by tier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23"/>
        <w:gridCol w:w="1411"/>
        <w:gridCol w:w="1512"/>
        <w:gridCol w:w="2016"/>
        <w:gridCol w:w="2318"/>
      </w:tblGrid>
      <w:tr>
        <w:trPr>
          <w:tblHeader/>
        </w:trPr>
        <w:tc>
          <w:tcPr>
            <w:tcW w:type="dxa" w:w="2823"/>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Control</w:t>
            </w:r>
          </w:p>
        </w:tc>
        <w:tc>
          <w:tcPr>
            <w:tcW w:type="dxa" w:w="1411"/>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Tier 1</w:t>
            </w:r>
          </w:p>
        </w:tc>
        <w:tc>
          <w:tcPr>
            <w:tcW w:type="dxa" w:w="151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Tier 2</w:t>
            </w:r>
          </w:p>
        </w:tc>
        <w:tc>
          <w:tcPr>
            <w:tcW w:type="dxa" w:w="2016"/>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Tier 3</w:t>
            </w:r>
          </w:p>
        </w:tc>
        <w:tc>
          <w:tcPr>
            <w:tcW w:type="dxa" w:w="231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Tier 4</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Named business owner and technical owner</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executive level</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Recorded in the agent inventory</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Documented decision boundary</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Recommended</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reviewed quarterly</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Dedicated identity, not a shared credential</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Recommended</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scoped per tool</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Least privilege review of tool and data access</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Annual</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Twice yearly</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Quarterly</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Quarterly, independently verified</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Decision logging with input provenance</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12 months</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12 months</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24 months</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Retention per regulatory maximum</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Tool call and action logging</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tamper evident</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Designed human oversight</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Sampled review</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Documented cadence plus exception alerting</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Statistical oversight with anti rubber stamp metrics</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Tested containment path</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Documented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Tested annually</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Tested every [PERIOD] and after material change</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Escalation triggers defined and monitored</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with automatic notification</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Regulatory classification recorded</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with legal sign off</w:t>
            </w:r>
          </w:p>
        </w:tc>
      </w:tr>
      <w:tr>
        <w:tc>
          <w:tcPr>
            <w:tcW w:type="dxa" w:w="282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Independent assurance review</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151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required</w:t>
            </w:r>
          </w:p>
        </w:tc>
        <w:tc>
          <w:tcPr>
            <w:tcW w:type="dxa" w:w="201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Recommended</w:t>
            </w:r>
          </w:p>
        </w:tc>
        <w:tc>
          <w:tcPr>
            <w:tcW w:type="dxa" w:w="23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Required, at least annually</w:t>
            </w:r>
          </w:p>
        </w:tc>
      </w:tr>
      <w:tr>
        <w:tc>
          <w:tcPr>
            <w:tcW w:type="dxa" w:w="282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Named in the quarterly board AI report</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w:t>
            </w:r>
          </w:p>
        </w:tc>
        <w:tc>
          <w:tcPr>
            <w:tcW w:type="dxa" w:w="151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w:t>
            </w:r>
          </w:p>
        </w:tc>
        <w:tc>
          <w:tcPr>
            <w:tcW w:type="dxa" w:w="201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By exception</w:t>
            </w:r>
          </w:p>
        </w:tc>
        <w:tc>
          <w:tcPr>
            <w:tcW w:type="dxa" w:w="23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Always, by name</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A system whose controls do not meet the floor for its tier is recorded as a control gap. A control gap is not a policy breach in itself; it becomes one if it remains open past its remediation date without a recorded risk acceptance under Section 11.</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7. Approval Gates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Four gates apply before an in scope system reaches production. No gate may be skipped; gates may be combined in a single council meeting for Tier 1 and Tier 2 systems.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13"/>
        <w:gridCol w:w="2621"/>
        <w:gridCol w:w="4032"/>
        <w:gridCol w:w="1814"/>
      </w:tblGrid>
      <w:tr>
        <w:trPr>
          <w:tblHeader/>
        </w:trPr>
        <w:tc>
          <w:tcPr>
            <w:tcW w:type="dxa" w:w="1613"/>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Gate</w:t>
            </w:r>
          </w:p>
        </w:tc>
        <w:tc>
          <w:tcPr>
            <w:tcW w:type="dxa" w:w="2621"/>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 the gate answers</w:t>
            </w:r>
          </w:p>
        </w:tc>
        <w:tc>
          <w:tcPr>
            <w:tcW w:type="dxa" w:w="4032"/>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required</w:t>
            </w:r>
          </w:p>
        </w:tc>
        <w:tc>
          <w:tcPr>
            <w:tcW w:type="dxa" w:w="1814"/>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Decision by</w:t>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Gate 1 Intent</w:t>
            </w:r>
          </w:p>
        </w:tc>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Should this be autonomous at all, and what is the boundary?</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Use case description, proposed autonomy level, decision boundary draft, named owners.</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w:t>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Gate 2 Design</w:t>
            </w:r>
          </w:p>
        </w:tc>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Are the controls for this tier designed in, or bolted on?</w:t>
            </w:r>
          </w:p>
        </w:tc>
        <w:tc>
          <w:tcPr>
            <w:tcW w:type="dxa" w:w="403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Control mapping against the tier floor, identity and access design, oversight design, logging design.</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with Security</w:t>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Gate 3 Evidence</w:t>
            </w:r>
          </w:p>
        </w:tc>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it behave as designed, and can we prove it?</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Test results, log samples, containment test result, regulatory classification, data protection assessment where required.</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with Legal</w:t>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Gate 4 Live readiness</w:t>
            </w:r>
          </w:p>
        </w:tc>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Who is answerable from the moment this goes live?</w:t>
            </w:r>
          </w:p>
        </w:tc>
        <w:tc>
          <w:tcPr>
            <w:tcW w:type="dxa" w:w="403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Signed owner acknowledgement, monitoring in place, escalation contacts current, rollback plan tested.</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w:t>
            </w:r>
          </w:p>
        </w:tc>
      </w:tr>
    </w:tbl>
    <w:p>
      <w:pPr>
        <w:pStyle w:val="Heading3"/>
        <w:spacing w:after="40" w:before="180"/>
      </w:pPr>
      <w:r>
        <w:rPr>
          <w:rFonts w:ascii="Arial" w:cs="Arial" w:eastAsia="Arial" w:hAnsi="Arial"/>
          <w:b/>
          <w:bCs/>
          <w:i w:val="false"/>
          <w:iCs w:val="false"/>
          <w:caps w:val="false"/>
          <w:color w:val="1A2A3A"/>
          <w:sz w:val="21"/>
          <w:szCs w:val="21"/>
        </w:rPr>
        <w:t xml:space="preserve">7.1 Systems already in production at charter adoption</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Systems live before this charter takes effect are brought into compliance on a remediation schedule rather than withdrawn. The schedule is set by tier and approved by the council.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18"/>
        <w:gridCol w:w="3931"/>
        <w:gridCol w:w="3931"/>
      </w:tblGrid>
      <w:tr>
        <w:trPr>
          <w:tblHeader/>
        </w:trPr>
        <w:tc>
          <w:tcPr>
            <w:tcW w:type="dxa" w:w="2218"/>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Tier</w:t>
            </w:r>
          </w:p>
        </w:tc>
        <w:tc>
          <w:tcPr>
            <w:tcW w:type="dxa" w:w="393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Must be classified and owned by</w:t>
            </w:r>
          </w:p>
        </w:tc>
        <w:tc>
          <w:tcPr>
            <w:tcW w:type="dxa" w:w="393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Must meet control floor by</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4 and any L5</w:t>
            </w:r>
          </w:p>
        </w:tc>
        <w:tc>
          <w:tcPr>
            <w:tcW w:type="dxa" w:w="393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30 days from adoption]</w:t>
            </w:r>
          </w:p>
        </w:tc>
        <w:tc>
          <w:tcPr>
            <w:tcW w:type="dxa" w:w="393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90 days]</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3</w:t>
            </w:r>
          </w:p>
        </w:tc>
        <w:tc>
          <w:tcPr>
            <w:tcW w:type="dxa" w:w="393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60 days]</w:t>
            </w:r>
          </w:p>
        </w:tc>
        <w:tc>
          <w:tcPr>
            <w:tcW w:type="dxa" w:w="393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180 days]</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2</w:t>
            </w:r>
          </w:p>
        </w:tc>
        <w:tc>
          <w:tcPr>
            <w:tcW w:type="dxa" w:w="393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90 days]</w:t>
            </w:r>
          </w:p>
        </w:tc>
        <w:tc>
          <w:tcPr>
            <w:tcW w:type="dxa" w:w="393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270 days]</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Tier 1</w:t>
            </w:r>
          </w:p>
        </w:tc>
        <w:tc>
          <w:tcPr>
            <w:tcW w:type="dxa" w:w="393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120 days]</w:t>
            </w:r>
          </w:p>
        </w:tc>
        <w:tc>
          <w:tcPr>
            <w:tcW w:type="dxa" w:w="393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 suggested 365 days]</w:t>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8. Human Oversight Requirements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Oversight that exists on paper and not in practice is the failure mode regulators and litigators look for first. This section sets the standard oversight must meet to count.</w:t>
      </w:r>
    </w:p>
    <w:p>
      <w:pPr>
        <w:pStyle w:val="Heading3"/>
        <w:spacing w:after="40" w:before="180"/>
      </w:pPr>
      <w:r>
        <w:rPr>
          <w:rFonts w:ascii="Arial" w:cs="Arial" w:eastAsia="Arial" w:hAnsi="Arial"/>
          <w:b/>
          <w:bCs/>
          <w:i w:val="false"/>
          <w:iCs w:val="false"/>
          <w:caps w:val="false"/>
          <w:color w:val="1A2A3A"/>
          <w:sz w:val="21"/>
          <w:szCs w:val="21"/>
        </w:rPr>
        <w:t xml:space="preserve">8.1 Oversight must be capable, not nominal</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reviewer must have the authority to stop or reverse the decision they are reviewing. A reviewer who can only comment is not exercising oversight.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reviewer must have the information needed to disagree: the inputs, the alternatives considered where available, and the confidence or basis of the recommendation.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reviewer must have the time. A review window shorter than the time required to read the material is evidence that the control is decorative.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reviewer must be identifiable. Review actions are bound to an individual identity, not to a shared account or a queue.</w:t>
      </w:r>
    </w:p>
    <w:p>
      <w:pPr>
        <w:pStyle w:val="Heading3"/>
        <w:spacing w:after="40" w:before="180"/>
      </w:pPr>
      <w:r>
        <w:rPr>
          <w:rFonts w:ascii="Arial" w:cs="Arial" w:eastAsia="Arial" w:hAnsi="Arial"/>
          <w:b/>
          <w:bCs/>
          <w:i w:val="false"/>
          <w:iCs w:val="false"/>
          <w:caps w:val="false"/>
          <w:color w:val="1A2A3A"/>
          <w:sz w:val="21"/>
          <w:szCs w:val="21"/>
        </w:rPr>
        <w:t xml:space="preserve">8.2 Measuring whether oversight is real</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Each Tier 3 and Tier 4 system reports the following measures to the council quarterly. The purpose is to detect oversight that has degraded into approval by reflex.</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20"/>
        <w:gridCol w:w="4234"/>
        <w:gridCol w:w="3226"/>
      </w:tblGrid>
      <w:tr>
        <w:trPr>
          <w:tblHeader/>
        </w:trPr>
        <w:tc>
          <w:tcPr>
            <w:tcW w:type="dxa" w:w="2620"/>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Measure</w:t>
            </w:r>
          </w:p>
        </w:tc>
        <w:tc>
          <w:tcPr>
            <w:tcW w:type="dxa" w:w="4234"/>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it detects</w:t>
            </w:r>
          </w:p>
        </w:tc>
        <w:tc>
          <w:tcPr>
            <w:tcW w:type="dxa" w:w="3226"/>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Threshold requiring investigation</w:t>
            </w:r>
          </w:p>
        </w:tc>
      </w:tr>
      <w:tr>
        <w:tc>
          <w:tcPr>
            <w:tcW w:type="dxa" w:w="26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Review completion rate</w:t>
            </w:r>
          </w:p>
        </w:tc>
        <w:tc>
          <w:tcPr>
            <w:tcW w:type="dxa" w:w="423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Reviews that were required but never happened.</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Below [e.g. 98 percent]</w:t>
            </w:r>
          </w:p>
        </w:tc>
      </w:tr>
      <w:tr>
        <w:tc>
          <w:tcPr>
            <w:tcW w:type="dxa" w:w="26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Median time spent per review</w:t>
            </w:r>
          </w:p>
        </w:tc>
        <w:tc>
          <w:tcPr>
            <w:tcW w:type="dxa" w:w="423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Approval faster than reading is possible.</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Below [set per system]</w:t>
            </w:r>
          </w:p>
        </w:tc>
      </w:tr>
      <w:tr>
        <w:tc>
          <w:tcPr>
            <w:tcW w:type="dxa" w:w="26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Override rate</w:t>
            </w:r>
          </w:p>
        </w:tc>
        <w:tc>
          <w:tcPr>
            <w:tcW w:type="dxa" w:w="423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reviewer who never disagrees is not reviewing.</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Below [e.g. 1 percent] sustained</w:t>
            </w:r>
          </w:p>
        </w:tc>
      </w:tr>
      <w:tr>
        <w:tc>
          <w:tcPr>
            <w:tcW w:type="dxa" w:w="26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Override reversal rate</w:t>
            </w:r>
          </w:p>
        </w:tc>
        <w:tc>
          <w:tcPr>
            <w:tcW w:type="dxa" w:w="423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Overrides that were themselves wrong.</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Above [set per system]</w:t>
            </w:r>
          </w:p>
        </w:tc>
      </w:tr>
      <w:tr>
        <w:tc>
          <w:tcPr>
            <w:tcW w:type="dxa" w:w="262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Reviews concentrated in one individual</w:t>
            </w:r>
          </w:p>
        </w:tc>
        <w:tc>
          <w:tcPr>
            <w:tcW w:type="dxa" w:w="423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Single point of oversight failure and fatigue.</w:t>
            </w:r>
          </w:p>
        </w:tc>
        <w:tc>
          <w:tcPr>
            <w:tcW w:type="dxa" w:w="3226"/>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Above [e.g. 40 percent] to one person</w:t>
            </w:r>
          </w:p>
        </w:tc>
      </w:tr>
      <w:tr>
        <w:tc>
          <w:tcPr>
            <w:tcW w:type="dxa" w:w="262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Escalations raised</w:t>
            </w:r>
          </w:p>
        </w:tc>
        <w:tc>
          <w:tcPr>
            <w:tcW w:type="dxa" w:w="423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system that never escalates may not be able to.</w:t>
            </w:r>
          </w:p>
        </w:tc>
        <w:tc>
          <w:tcPr>
            <w:tcW w:type="dxa" w:w="3226"/>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Zero over a full quarter</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9. Discovery Obligation</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Governing what is visible is worthless if most of what operates is invisible. [ORGANIZATION] therefore commits to active discovery rather than to voluntary declaration alone.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218"/>
        <w:gridCol w:w="2822"/>
      </w:tblGrid>
      <w:tr>
        <w:trPr>
          <w:tblHeader/>
        </w:trPr>
        <w:tc>
          <w:tcPr>
            <w:tcW w:type="dxa" w:w="5040"/>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Discovery activity</w:t>
            </w:r>
          </w:p>
        </w:tc>
        <w:tc>
          <w:tcPr>
            <w:tcW w:type="dxa" w:w="2218"/>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Frequency</w:t>
            </w:r>
          </w:p>
        </w:tc>
        <w:tc>
          <w:tcPr>
            <w:tcW w:type="dxa" w:w="2822"/>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Accountable role</w:t>
            </w:r>
          </w:p>
        </w:tc>
      </w:tr>
      <w:tr>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Review of AI capability enabled in existing platform tenancies</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[Monthly]</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Network egress analysis for traffic to external model endpoints</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[Monthly]</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Identity provider audit of connected applications and consent grants</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[Quarterly]</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Expense, card and procurement review for AI service spend</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[Quarterly]</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Code repository and developer tooling scan for agent and connector configuration</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[Monthly]</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Business unit self declaration campaign</w:t>
            </w:r>
          </w:p>
        </w:tc>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[Twice yearly]</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r>
        <w:tc>
          <w:tcPr>
            <w:tcW w:type="dxa" w:w="504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Third party and managed service provider attestation</w:t>
            </w:r>
          </w:p>
        </w:tc>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[Annually and at renewal]</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[Role]</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Every find is recorded with its discovery method and dispositioned within [NUMBER] business days to one of: added to inventory and governed, scope restricted, decommissioned, or accepted with documented residual risk. A find left undispositioned past its date is escalated to the Chair automatically.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C9A227"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A NOTE ON HOW TO RUN DISCOVERY</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Discovery finds more when it is not punitive. A team that expects sanction will not declare, and the systems you most need to see are the ones held by people who suspect they should have asked first.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Consider an explicit amnesty for the first declaration cycle: full disclosure, no consequence, provided the system is brought into governance. The second cycle can be enforced.</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10. Escalation, Incidents and Containment</w:t>
      </w:r>
    </w:p>
    <w:p>
      <w:pPr>
        <w:pStyle w:val="Heading3"/>
        <w:spacing w:after="40" w:before="180"/>
      </w:pPr>
      <w:r>
        <w:rPr>
          <w:rFonts w:ascii="Arial" w:cs="Arial" w:eastAsia="Arial" w:hAnsi="Arial"/>
          <w:b/>
          <w:bCs/>
          <w:i w:val="false"/>
          <w:iCs w:val="false"/>
          <w:caps w:val="false"/>
          <w:color w:val="1A2A3A"/>
          <w:sz w:val="21"/>
          <w:szCs w:val="21"/>
        </w:rPr>
        <w:t xml:space="preserve">10.1 Escalation triggers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Each system defines its own thresholds in its design documentation. The following triggers apply to every in scope system regardless of tier and require immediate notification to the Chair and Security.</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 action taken outside the documented decision boundary.</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Access to a system or dataset the system was not authorized to reach.</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decision whose basis cannot be reconstructed from the logs.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 action that cannot be reversed and was not designed to be irreversible.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Any behaviour reported by a customer, regulator, employee or partner as unexplained.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Failure of a containment test.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Discovery that the system has been operating above its approved autonomy level.</w:t>
      </w:r>
    </w:p>
    <w:p>
      <w:pPr>
        <w:pStyle w:val="Heading3"/>
        <w:spacing w:after="40" w:before="180"/>
      </w:pPr>
      <w:r>
        <w:rPr>
          <w:rFonts w:ascii="Arial" w:cs="Arial" w:eastAsia="Arial" w:hAnsi="Arial"/>
          <w:b/>
          <w:bCs/>
          <w:i w:val="false"/>
          <w:iCs w:val="false"/>
          <w:caps w:val="false"/>
          <w:color w:val="1A2A3A"/>
          <w:sz w:val="21"/>
          <w:szCs w:val="21"/>
        </w:rPr>
        <w:t xml:space="preserve">10.2 Containment authority</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Containment is defined and sequenced in the containment procedure, the Agent Containment Procedure. Authority to invoke each level is set out below and applies at all hours. Authority to contain is never held by a single individual without an alternate.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15"/>
        <w:gridCol w:w="2822"/>
        <w:gridCol w:w="3024"/>
        <w:gridCol w:w="2419"/>
      </w:tblGrid>
      <w:tr>
        <w:trPr>
          <w:tblHeader/>
        </w:trPr>
        <w:tc>
          <w:tcPr>
            <w:tcW w:type="dxa" w:w="1815"/>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Containment level</w:t>
            </w:r>
          </w:p>
        </w:tc>
        <w:tc>
          <w:tcPr>
            <w:tcW w:type="dxa" w:w="2822"/>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Effect</w:t>
            </w:r>
          </w:p>
        </w:tc>
        <w:tc>
          <w:tcPr>
            <w:tcW w:type="dxa" w:w="3024"/>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May be invoked by</w:t>
            </w:r>
          </w:p>
        </w:tc>
        <w:tc>
          <w:tcPr>
            <w:tcW w:type="dxa" w:w="2419"/>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Notification required</w:t>
            </w:r>
          </w:p>
        </w:tc>
      </w:tr>
      <w:tr>
        <w:tc>
          <w:tcPr>
            <w:tcW w:type="dxa" w:w="181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Pause</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System stops taking new actions; in flight work completes.</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of: technical owner, on call engineer, SOC shift lead]</w:t>
            </w:r>
          </w:p>
        </w:tc>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 and business owner within [1 hour]</w:t>
            </w:r>
          </w:p>
        </w:tc>
      </w:tr>
      <w:tr>
        <w:tc>
          <w:tcPr>
            <w:tcW w:type="dxa" w:w="181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Constrain</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Autonomy reduced; human approval required for each action.</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[Technical owner or Security duty manager]</w:t>
            </w:r>
          </w:p>
        </w:tc>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 business owner, Security within [1 hour]</w:t>
            </w:r>
          </w:p>
        </w:tc>
      </w:tr>
      <w:tr>
        <w:tc>
          <w:tcPr>
            <w:tcW w:type="dxa" w:w="181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Revoke</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Credentials and tool access withdrawn; system cannot act.</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[Security duty manager or CISO delegate]</w:t>
            </w:r>
          </w:p>
        </w:tc>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Chair, CISO, business owner immediately</w:t>
            </w:r>
          </w:p>
        </w:tc>
      </w:tr>
      <w:tr>
        <w:tc>
          <w:tcPr>
            <w:tcW w:type="dxa" w:w="181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Decommission</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System removed from production; logs preserved.</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or Chair in urgency with ratification]</w:t>
            </w:r>
          </w:p>
        </w:tc>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within [24 hours]; [BOARD COMMITTEE] if Tier 4</w:t>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No individual with containment authority may have that authority dependent on a single credential, device or communication channel. The authority must survive the failure of the system being contained.</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11. Exceptions and Risk Acceptance</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Exceptions are permitted and expected. Undocumented exceptions are not. An exception that has not been recorded is indistinguishable, after an incident, from a control that was never designed.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21"/>
        <w:gridCol w:w="7459"/>
      </w:tblGrid>
      <w:tr>
        <w:trPr>
          <w:tblHeader/>
        </w:trPr>
        <w:tc>
          <w:tcPr>
            <w:tcW w:type="dxa" w:w="262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7459"/>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Requirement</w:t>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What is being excepted</w:t>
            </w:r>
          </w:p>
        </w:tc>
        <w:tc>
          <w:tcPr>
            <w:tcW w:type="dxa" w:w="745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specific control and the specific system. Blanket exceptions are not granted.</w:t>
            </w:r>
          </w:p>
        </w:tc>
      </w:tr>
      <w:tr>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Reason</w:t>
            </w:r>
          </w:p>
        </w:tc>
        <w:tc>
          <w:tcPr>
            <w:tcW w:type="dxa" w:w="745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Why the control cannot be met now, in operational terms rather than in terms of effort.</w:t>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Compensating control</w:t>
            </w:r>
          </w:p>
        </w:tc>
        <w:tc>
          <w:tcPr>
            <w:tcW w:type="dxa" w:w="745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is in place instead. An exception with no compensating control is a risk acceptance, and is named as one.</w:t>
            </w:r>
          </w:p>
        </w:tc>
      </w:tr>
      <w:tr>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Residual risk</w:t>
            </w:r>
          </w:p>
        </w:tc>
        <w:tc>
          <w:tcPr>
            <w:tcW w:type="dxa" w:w="745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Stated in the same terms the organization uses in its risk register.</w:t>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Accepted by</w:t>
            </w:r>
          </w:p>
        </w:tc>
        <w:tc>
          <w:tcPr>
            <w:tcW w:type="dxa" w:w="745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named individual with the seniority to accept the risk. Tier 4 exceptions require [BOARD COMMITTEE] acceptance.</w:t>
            </w:r>
          </w:p>
        </w:tc>
      </w:tr>
      <w:tr>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Expiry date</w:t>
            </w:r>
          </w:p>
        </w:tc>
        <w:tc>
          <w:tcPr>
            <w:tcW w:type="dxa" w:w="745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Mandatory. Maximum [e.g. 180 days]. An exception without an expiry is a policy change made without approval.</w:t>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Review trigger</w:t>
            </w:r>
          </w:p>
        </w:tc>
        <w:tc>
          <w:tcPr>
            <w:tcW w:type="dxa" w:w="745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Any material change to the system voids the exception and requires reapplication.</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12. Reporting to the Board</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[BOARD COMMITTEE] receives a structured report each quarter in a consistent format, so that directors can compare one quarter against the next. The format is set out in companion instrument of this toolkit and covers, at minimum:</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Incident count and severity, segmented by autonomy level, with movement against the prior quarter.</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Inventory position: systems in production, distribution across the autonomy ladder, and changes since the last report.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Open control gaps, with age, and the number that have passed their remediation date.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Human oversight compliance rate for Tier 3 and Tier 4 systems.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Regulatory position: obligations in force, obligations entering force within twelve months, and any open regulatory inquiry.</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Cost per compliant decision trajectory.</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Shadow AI discovery results and disposition.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Containment drill results, including any system that failed.</w:t>
      </w:r>
    </w:p>
    <w:p>
      <w:pPr>
        <w:keepNext w:val="false"/>
        <w:spacing w:after="120" w:before="100" w:line="276"/>
        <w:jc w:val="left"/>
      </w:pPr>
      <w:r>
        <w:rPr>
          <w:rFonts w:ascii="Arial" w:cs="Arial" w:eastAsia="Arial" w:hAnsi="Arial"/>
          <w:b w:val="false"/>
          <w:bCs w:val="false"/>
          <w:i w:val="false"/>
          <w:iCs w:val="false"/>
          <w:caps w:val="false"/>
          <w:color w:val="222222"/>
          <w:sz w:val="20"/>
          <w:szCs w:val="20"/>
        </w:rPr>
        <w:t xml:space="preserve">The report is delivered with sufficient lead time for directors to read it and prepare questions. A report tabled in the meeting has not been reviewed by the board, whatever the minutes record.</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13. Charter Review and Amendment</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This charter is reviewed at least annually by the council and approved by [APPROVING BODY]. It is reviewed out of cycle on any of the following triggers.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material incident involving an in scope system.</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new or amended regulatory obligation affecting AI systems in any jurisdiction in which [ORGANIZATION] operates.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change in the organization's risk appetite as set by [BOARD COMMITTEE].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 independent assurance finding on the governance framework itself.</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The arrival of a materially new capability class, including but not limited to systems that direct other systems, systems acting in the physical world, and systems operating across organizational boundaries.</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14. Adoption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8"/>
        <w:gridCol w:w="2419"/>
        <w:gridCol w:w="2419"/>
        <w:gridCol w:w="1814"/>
      </w:tblGrid>
      <w:tr>
        <w:trPr>
          <w:tblHeader/>
        </w:trPr>
        <w:tc>
          <w:tcPr>
            <w:tcW w:type="dxa" w:w="3428"/>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Role</w:t>
            </w:r>
          </w:p>
        </w:tc>
        <w:tc>
          <w:tcPr>
            <w:tcW w:type="dxa" w:w="241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Name</w:t>
            </w:r>
          </w:p>
        </w:tc>
        <w:tc>
          <w:tcPr>
            <w:tcW w:type="dxa" w:w="241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Signature</w:t>
            </w:r>
          </w:p>
        </w:tc>
        <w:tc>
          <w:tcPr>
            <w:tcW w:type="dxa" w:w="181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Date</w:t>
            </w:r>
          </w:p>
        </w:tc>
      </w:tr>
      <w:tr>
        <w:tc>
          <w:tcPr>
            <w:tcW w:type="dxa" w:w="342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Chair of the Agent Governance Council</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Chief Information Security Officer</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General Counsel</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Chief Risk Officer</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42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On behalf of [APPROVING BODY]</w:t>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Appendix: Adoption Checklist</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Work through this before taking the charter to your approving body. Each item is a question that will be asked in the approval meeting.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7862"/>
        <w:gridCol w:w="1613"/>
      </w:tblGrid>
      <w:tr>
        <w:trPr>
          <w:tblHeader/>
        </w:trPr>
        <w:tc>
          <w:tcPr>
            <w:tcW w:type="dxa" w:w="605"/>
            <w:tcBorders>
              <w:top w:val="single" w:color="C8CDD4" w:sz="2"/>
              <w:left w:val="single" w:color="C8CDD4" w:sz="2"/>
              <w:bottom w:val="single" w:color="C8CDD4" w:sz="2"/>
              <w:right w:val="single" w:color="C8CDD4" w:sz="2"/>
            </w:tcBorders>
            <w:shd w:fill="C9A227"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7862"/>
            <w:tcBorders>
              <w:top w:val="single" w:color="C8CDD4" w:sz="2"/>
              <w:left w:val="single" w:color="C8CDD4" w:sz="2"/>
              <w:bottom w:val="single" w:color="C8CDD4" w:sz="2"/>
              <w:right w:val="single" w:color="C8CDD4" w:sz="2"/>
            </w:tcBorders>
            <w:shd w:fill="C9A227"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613"/>
            <w:tcBorders>
              <w:top w:val="single" w:color="C8CDD4" w:sz="2"/>
              <w:left w:val="single" w:color="C8CDD4" w:sz="2"/>
              <w:bottom w:val="single" w:color="C8CDD4" w:sz="2"/>
              <w:right w:val="single" w:color="C8CDD4" w:sz="2"/>
            </w:tcBorders>
            <w:shd w:fill="C9A227"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Done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bracketed placeholder replaced with an actual role, date, number or body.</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Council membership named, with alternates for every voting seat.</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Quorum rule agreed and tested against your actual meeting attendance history.</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4</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Tier thresholds reviewed against your organization's existing risk scoring so the two do not contradict.</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5</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Control floors checked against your sector regulator's expectations, not only against this template.</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6</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Containment authority list validated with the people named on it, including out of hours reachability.</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7</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Remediation schedule for existing systems agreed with the business units that own them.</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8</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Legal review completed and recorded.</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9</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Interaction with existing model risk, security and change policy documented, with conflicts resolved.</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10</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Agent inventory populated well enough that the first council meeting has real material to decide on.</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11</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First quarter board report format agreed with the committee secretary.</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12</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Discovery activities assigned to named owners with the tooling they need already available.</w:t>
            </w:r>
          </w:p>
        </w:tc>
        <w:tc>
          <w:tcPr>
            <w:tcW w:type="dxa" w:w="1613"/>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475569"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WHERE THIS CHARTER CAME FROM</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The governance model, the reasoning behind tier based control floors, and the organizational dynamics that determine whether a charter like this survives its first year are set out in When Agents Rule, Chapters 4, 5 and 12. This document is the instrument; the book is the argument.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This template is provided for internal use within your own organization. It is not legal advice and has not been drafted against any particular jurisdiction.</w:t>
            </w:r>
          </w:p>
        </w:tc>
      </w:tr>
    </w:tbl>
    <w:sectPr>
      <w:headerReference w:type="default" r:id="rId7"/>
      <w:footerReference w:type="default" r:id="rId8"/>
      <w:pgSz w:w="12240" w:h="15840" w:orient="portrait"/>
      <w:pgMar w:top="1080" w:right="1080" w:bottom="1080" w:left="108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9DF" w:sz="4" w:space="6"/>
      </w:pBdr>
      <w:tabs>
        <w:tab w:val="right" w:pos="10080"/>
      </w:tabs>
      <w:spacing w:before="40"/>
      <w:jc w:val="left"/>
    </w:pPr>
    <w:r>
      <w:rPr>
        <w:rFonts w:ascii="Arial" w:cs="Arial" w:eastAsia="Arial" w:hAnsi="Arial"/>
        <w:b w:val="false"/>
        <w:bCs w:val="false"/>
        <w:i w:val="false"/>
        <w:iCs w:val="false"/>
        <w:caps w:val="false"/>
        <w:color w:val="475569"/>
        <w:sz w:val="14"/>
        <w:szCs w:val="14"/>
      </w:rPr>
      <w:t xml:space="preserve">Companion toolkit for When Agents Rule by Steven Oppenheim. Free for internal use. Not legal, technical or financial advice.</w:t>
    </w:r>
    <w:r>
      <w:rPr>
        <w:rFonts w:ascii="Arial" w:cs="Arial" w:eastAsia="Arial" w:hAnsi="Arial"/>
        <w:color w:val="475569"/>
        <w:sz w:val="14"/>
        <w:szCs w:val="14"/>
      </w:rPr>
      <w:t xml:space="preserve">	</w:t>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C3AED" w:sz="6" w:space="4"/>
      </w:pBdr>
      <w:spacing w:after="40"/>
    </w:pPr>
    <w:r>
      <w:rPr>
        <w:rFonts w:ascii="Arial" w:cs="Arial" w:eastAsia="Arial" w:hAnsi="Arial"/>
        <w:b/>
        <w:bCs/>
        <w:i w:val="false"/>
        <w:iCs w:val="false"/>
        <w:caps/>
        <w:color w:val="C9A227"/>
        <w:sz w:val="16"/>
        <w:szCs w:val="16"/>
      </w:rPr>
      <w:t xml:space="preserve">WHEN AGENTS RULE</w:t>
    </w:r>
    <w:r>
      <w:rPr>
        <w:rFonts w:ascii="Arial" w:cs="Arial" w:eastAsia="Arial" w:hAnsi="Arial"/>
        <w:b w:val="false"/>
        <w:bCs w:val="false"/>
        <w:i w:val="false"/>
        <w:iCs w:val="false"/>
        <w:caps w:val="false"/>
        <w:color w:val="475569"/>
        <w:sz w:val="16"/>
        <w:szCs w:val="16"/>
      </w:rPr>
      <w:t xml:space="preserve">     AGENT GOVERNANCE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1A2A3A"/>
        <w:sz w:val="20"/>
        <w:szCs w:val="20"/>
      </w:rPr>
    </w:lvl>
    <w:lvl w:ilvl="1" w15:tentative="1">
      <w:start w:val="1"/>
      <w:numFmt w:val="bullet"/>
      <w:lvlText w:val="◦"/>
      <w:lvlJc w:val="left"/>
      <w:pPr>
        <w:ind w:left="720" w:hanging="220"/>
      </w:pPr>
      <w:rPr>
        <w:rFonts w:ascii="Arial" w:cs="Arial" w:eastAsia="Arial" w:hAnsi="Arial"/>
        <w:color w:val="1A2A3A"/>
        <w:sz w:val="20"/>
        <w:szCs w:val="20"/>
      </w:rPr>
    </w:lvl>
  </w:abstractNum>
  <w:abstractNum w:abstractNumId="3" w15:restartNumberingAfterBreak="0">
    <w:multiLevelType w:val="hybridMultilevel"/>
    <w:lvl w:ilvl="0" w15:tentative="1">
      <w:start w:val="1"/>
      <w:numFmt w:val="decimal"/>
      <w:lvlText w:val="%1."/>
      <w:lvlJc w:val="left"/>
      <w:pPr>
        <w:ind w:left="400" w:hanging="260"/>
      </w:pPr>
      <w:rPr>
        <w:rFonts w:ascii="Arial" w:cs="Arial" w:eastAsia="Arial" w:hAnsi="Arial"/>
        <w:b/>
        <w:bCs/>
        <w:color w:val="1A2A3A"/>
        <w:sz w:val="20"/>
        <w:szCs w:val="20"/>
      </w:rPr>
    </w:lvl>
    <w:lvl w:ilvl="1" w15:tentative="1">
      <w:start w:val="1"/>
      <w:numFmt w:val="lowerLetter"/>
      <w:lvlText w:val="%2."/>
      <w:lvlJc w:val="left"/>
      <w:pPr>
        <w:ind w:left="760" w:hanging="260"/>
      </w:pPr>
      <w:rPr>
        <w:rFonts w:ascii="Arial" w:cs="Arial" w:eastAsia="Arial" w:hAnsi="Arial"/>
        <w:color w:val="1A2A3A"/>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Governance Charter</dc:title>
  <dc:creator>Steven Oppenheim</dc:creator>
  <dc:description>When Agents Rule companion toolkit, Agent Governance group</dc:description>
  <cp:lastModifiedBy>Un-named</cp:lastModifiedBy>
  <cp:revision>1</cp:revision>
  <dcterms:created xsi:type="dcterms:W3CDTF">2026-09-13T12:03:42.563Z</dcterms:created>
  <dcterms:modified xsi:type="dcterms:W3CDTF">2026-09-13T12:03:42.563Z</dcterms:modified>
</cp:coreProperties>
</file>

<file path=docProps/custom.xml><?xml version="1.0" encoding="utf-8"?>
<Properties xmlns="http://schemas.openxmlformats.org/officeDocument/2006/custom-properties" xmlns:vt="http://schemas.openxmlformats.org/officeDocument/2006/docPropsVTypes"/>
</file>