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A227"/>
          <w:sz w:val="18"/>
        </w:rPr>
        <w:t>WHEN AGENTS RULE  //  COMPANION TOOLKIT</w:t>
      </w:r>
    </w:p>
    <w:p>
      <w:pPr>
        <w:jc w:val="center"/>
      </w:pPr>
      <w:r>
        <w:rPr>
          <w:b/>
          <w:color w:val="1A2A3A"/>
          <w:sz w:val="42"/>
        </w:rPr>
        <w:t>Agent Reliability Contract and Error Budget Charter</w:t>
      </w:r>
    </w:p>
    <w:p>
      <w:pPr>
        <w:jc w:val="center"/>
      </w:pPr>
      <w:r>
        <w:rPr>
          <w:i/>
          <w:color w:val="6B7785"/>
          <w:sz w:val="22"/>
        </w:rPr>
        <w:t>A signed reliability contract for every agent deployed at autonomy level L3 or above</w:t>
      </w:r>
    </w:p>
    <w:p>
      <w:pPr>
        <w:jc w:val="center"/>
      </w:pPr>
      <w:r>
        <w:rPr>
          <w:color w:val="6B7785"/>
          <w:sz w:val="17"/>
        </w:rPr>
        <w:t>Companion toolkit, September 2026  //  Method: When Agents Rule, Chapter 15</w:t>
      </w:r>
    </w:p>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one thing this document exists to prevent</w:t>
            </w:r>
          </w:p>
          <w:p>
            <w:r>
              <w:rPr>
                <w:sz w:val="20"/>
              </w:rPr>
              <w:t>An agent qualified for L2 deployment being promoted to L4 without the corresponding tightening of its reliability standard. That is the failure mode Chapter 15 names, and it happens because the reliability gate is written once at first deployment and never revisited when the autonomy level changes. This contract is therefore signed at deployment and re signed on any change of autonomy level, not annually.</w:t>
            </w:r>
          </w:p>
        </w:tc>
      </w:tr>
    </w:tbl>
    <w:p/>
    <w:p>
      <w:pPr>
        <w:spacing w:before="320" w:after="120"/>
      </w:pPr>
      <w:r>
        <w:rPr>
          <w:b/>
          <w:color w:val="1A2A3A"/>
          <w:sz w:val="27"/>
        </w:rPr>
        <w:t>1. Scope and Parties</w:t>
      </w:r>
    </w:p>
    <w:p>
      <w:r>
        <w:rPr>
          <w:i w:val="0"/>
          <w:sz w:val="21"/>
        </w:rPr>
        <w:t>This contract applies to a single named agent deployment operating at autonomy level L3 or above. Agents at L2 and below do not require a contract, because every action is reviewed before consequence; they require an entry in the inventory and nothing more. One contract per deployment, not per model and not per team.</w:t>
      </w:r>
    </w:p>
    <w:p>
      <w:pPr>
        <w:spacing w:after="60"/>
      </w:pPr>
      <w:r>
        <w:rPr>
          <w:b/>
          <w:sz w:val="20"/>
        </w:rPr>
        <w:t xml:space="preserve">Agent name and identifier: </w:t>
      </w:r>
      <w:r>
        <w:rPr>
          <w:color w:val="6B7785"/>
          <w:sz w:val="20"/>
        </w:rPr>
        <w:t>[ AGT-nnnn, as recorded in the Agent Inventory ]</w:t>
      </w:r>
    </w:p>
    <w:p>
      <w:pPr>
        <w:spacing w:after="60"/>
      </w:pPr>
      <w:r>
        <w:rPr>
          <w:b/>
          <w:sz w:val="20"/>
        </w:rPr>
        <w:t xml:space="preserve">Autonomy level at signature: </w:t>
      </w:r>
      <w:r>
        <w:rPr>
          <w:color w:val="6B7785"/>
          <w:sz w:val="20"/>
        </w:rPr>
        <w:t>[ L3, L4 or L5 ]</w:t>
      </w:r>
    </w:p>
    <w:p>
      <w:pPr>
        <w:spacing w:after="60"/>
      </w:pPr>
      <w:r>
        <w:rPr>
          <w:b/>
          <w:sz w:val="20"/>
        </w:rPr>
        <w:t xml:space="preserve">Business purpose in one sentence: </w:t>
      </w:r>
      <w:r>
        <w:rPr>
          <w:color w:val="6B7785"/>
          <w:sz w:val="20"/>
        </w:rPr>
        <w:t>[ to be completed ]</w:t>
      </w:r>
    </w:p>
    <w:p>
      <w:pPr>
        <w:spacing w:after="60"/>
      </w:pPr>
      <w:r>
        <w:rPr>
          <w:b/>
          <w:sz w:val="20"/>
        </w:rPr>
        <w:t xml:space="preserve">Date of first production deployment: </w:t>
      </w:r>
      <w:r>
        <w:rPr>
          <w:color w:val="6B7785"/>
          <w:sz w:val="20"/>
        </w:rPr>
        <w:t>[ to be completed ]</w:t>
      </w:r>
    </w:p>
    <w:p>
      <w:pPr>
        <w:spacing w:after="60"/>
      </w:pPr>
      <w:r>
        <w:rPr>
          <w:b/>
          <w:sz w:val="20"/>
        </w:rPr>
        <w:t xml:space="preserve">Date this contract was signed: </w:t>
      </w:r>
      <w:r>
        <w:rPr>
          <w:color w:val="6B7785"/>
          <w:sz w:val="20"/>
        </w:rPr>
        <w:t>[ to be completed ]</w:t>
      </w:r>
    </w:p>
    <w:p>
      <w:pPr>
        <w:spacing w:after="60"/>
      </w:pPr>
      <w:r>
        <w:rPr>
          <w:b/>
          <w:sz w:val="20"/>
        </w:rPr>
        <w:t xml:space="preserve">Date of next review: </w:t>
      </w:r>
      <w:r>
        <w:rPr>
          <w:color w:val="6B7785"/>
          <w:sz w:val="20"/>
        </w:rPr>
        <w:t>[ to be completed ]</w:t>
      </w:r>
    </w:p>
    <w:p>
      <w:pPr>
        <w:spacing w:before="220" w:after="80"/>
      </w:pPr>
      <w:r>
        <w:rPr>
          <w:b/>
          <w:color w:val="1A2A3A"/>
          <w:sz w:val="22"/>
        </w:rPr>
        <w:t>The four accountable parties</w:t>
      </w:r>
    </w:p>
    <w:p>
      <w:r>
        <w:rPr>
          <w:i w:val="0"/>
          <w:sz w:val="21"/>
        </w:rPr>
        <w:t>Chapter 15 specifies four roles. A contract signed by fewer than four is not a contract, it is a note from engineering.</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160"/>
            <w:shd w:val="clear" w:fill="1A2A3A"/>
          </w:tcPr>
          <w:p>
            <w:r>
              <w:rPr>
                <w:b/>
                <w:color w:val="FFFFFF"/>
                <w:sz w:val="17"/>
              </w:rPr>
              <w:t>Role</w:t>
            </w:r>
          </w:p>
        </w:tc>
        <w:tc>
          <w:tcPr>
            <w:tcW w:type="dxa" w:w="3888"/>
            <w:shd w:val="clear" w:fill="1A2A3A"/>
          </w:tcPr>
          <w:p>
            <w:r>
              <w:rPr>
                <w:b/>
                <w:color w:val="FFFFFF"/>
                <w:sz w:val="17"/>
              </w:rPr>
              <w:t>What they are accountable for</w:t>
            </w:r>
          </w:p>
        </w:tc>
        <w:tc>
          <w:tcPr>
            <w:tcW w:type="dxa" w:w="2160"/>
            <w:shd w:val="clear" w:fill="1A2A3A"/>
          </w:tcPr>
          <w:p>
            <w:r>
              <w:rPr>
                <w:b/>
                <w:color w:val="FFFFFF"/>
                <w:sz w:val="17"/>
              </w:rPr>
              <w:t>Name and title</w:t>
            </w:r>
          </w:p>
        </w:tc>
        <w:tc>
          <w:tcPr>
            <w:tcW w:type="dxa" w:w="1872"/>
            <w:shd w:val="clear" w:fill="1A2A3A"/>
          </w:tcPr>
          <w:p>
            <w:r>
              <w:rPr>
                <w:b/>
                <w:color w:val="FFFFFF"/>
                <w:sz w:val="17"/>
              </w:rPr>
              <w:t>Signature and date</w:t>
            </w:r>
          </w:p>
        </w:tc>
      </w:tr>
      <w:tr>
        <w:tc>
          <w:tcPr>
            <w:tcW w:type="dxa" w:w="2160"/>
          </w:tcPr>
          <w:p>
            <w:r>
              <w:rPr>
                <w:sz w:val="18"/>
              </w:rPr>
              <w:t>Workload owner</w:t>
            </w:r>
          </w:p>
        </w:tc>
        <w:tc>
          <w:tcPr>
            <w:tcW w:type="dxa" w:w="3888"/>
          </w:tcPr>
          <w:p>
            <w:r>
              <w:rPr>
                <w:sz w:val="18"/>
              </w:rPr>
              <w:t>The agent's production behaviour and the business consequence of it</w:t>
            </w:r>
          </w:p>
        </w:tc>
        <w:tc>
          <w:tcPr>
            <w:tcW w:type="dxa" w:w="2160"/>
          </w:tcPr>
          <w:p>
            <w:r>
              <w:rPr>
                <w:sz w:val="18"/>
              </w:rPr>
            </w:r>
          </w:p>
        </w:tc>
        <w:tc>
          <w:tcPr>
            <w:tcW w:type="dxa" w:w="1872"/>
          </w:tcPr>
          <w:p>
            <w:r>
              <w:rPr>
                <w:sz w:val="18"/>
              </w:rPr>
            </w:r>
          </w:p>
        </w:tc>
      </w:tr>
      <w:tr>
        <w:tc>
          <w:tcPr>
            <w:tcW w:type="dxa" w:w="2160"/>
          </w:tcPr>
          <w:p>
            <w:r>
              <w:rPr>
                <w:sz w:val="18"/>
              </w:rPr>
              <w:t>AI Engineering Lead</w:t>
            </w:r>
          </w:p>
        </w:tc>
        <w:tc>
          <w:tcPr>
            <w:tcW w:type="dxa" w:w="3888"/>
          </w:tcPr>
          <w:p>
            <w:r>
              <w:rPr>
                <w:sz w:val="18"/>
              </w:rPr>
              <w:t>Sustaining the service level objectives set out in section 3</w:t>
            </w:r>
          </w:p>
        </w:tc>
        <w:tc>
          <w:tcPr>
            <w:tcW w:type="dxa" w:w="2160"/>
          </w:tcPr>
          <w:p>
            <w:r>
              <w:rPr>
                <w:sz w:val="18"/>
              </w:rPr>
            </w:r>
          </w:p>
        </w:tc>
        <w:tc>
          <w:tcPr>
            <w:tcW w:type="dxa" w:w="1872"/>
          </w:tcPr>
          <w:p>
            <w:r>
              <w:rPr>
                <w:sz w:val="18"/>
              </w:rPr>
            </w:r>
          </w:p>
        </w:tc>
      </w:tr>
      <w:tr>
        <w:tc>
          <w:tcPr>
            <w:tcW w:type="dxa" w:w="2160"/>
          </w:tcPr>
          <w:p>
            <w:r>
              <w:rPr>
                <w:sz w:val="18"/>
              </w:rPr>
              <w:t>CISO or delegate</w:t>
            </w:r>
          </w:p>
        </w:tc>
        <w:tc>
          <w:tcPr>
            <w:tcW w:type="dxa" w:w="3888"/>
          </w:tcPr>
          <w:p>
            <w:r>
              <w:rPr>
                <w:sz w:val="18"/>
              </w:rPr>
              <w:t>The security implications where an objective breach may indicate compromise</w:t>
            </w:r>
          </w:p>
        </w:tc>
        <w:tc>
          <w:tcPr>
            <w:tcW w:type="dxa" w:w="2160"/>
          </w:tcPr>
          <w:p>
            <w:r>
              <w:rPr>
                <w:sz w:val="18"/>
              </w:rPr>
            </w:r>
          </w:p>
        </w:tc>
        <w:tc>
          <w:tcPr>
            <w:tcW w:type="dxa" w:w="1872"/>
          </w:tcPr>
          <w:p>
            <w:r>
              <w:rPr>
                <w:sz w:val="18"/>
              </w:rPr>
            </w:r>
          </w:p>
        </w:tc>
      </w:tr>
      <w:tr>
        <w:tc>
          <w:tcPr>
            <w:tcW w:type="dxa" w:w="2160"/>
          </w:tcPr>
          <w:p>
            <w:r>
              <w:rPr>
                <w:sz w:val="18"/>
              </w:rPr>
              <w:t>AI Economics Council representative</w:t>
            </w:r>
          </w:p>
        </w:tc>
        <w:tc>
          <w:tcPr>
            <w:tcW w:type="dxa" w:w="3888"/>
          </w:tcPr>
          <w:p>
            <w:r>
              <w:rPr>
                <w:sz w:val="18"/>
              </w:rPr>
              <w:t>The cost implications of the reliability investment this contract commits</w:t>
            </w:r>
          </w:p>
        </w:tc>
        <w:tc>
          <w:tcPr>
            <w:tcW w:type="dxa" w:w="2160"/>
          </w:tcPr>
          <w:p>
            <w:r>
              <w:rPr>
                <w:sz w:val="18"/>
              </w:rPr>
            </w:r>
          </w:p>
        </w:tc>
        <w:tc>
          <w:tcPr>
            <w:tcW w:type="dxa" w:w="1872"/>
          </w:tcPr>
          <w:p>
            <w:r>
              <w:rPr>
                <w:sz w:val="18"/>
              </w:rPr>
            </w:r>
          </w:p>
        </w:tc>
      </w:tr>
    </w:tbl>
    <w:p/>
    <w:p>
      <w:pPr>
        <w:spacing w:before="320" w:after="120"/>
      </w:pPr>
      <w:r>
        <w:rPr>
          <w:b/>
          <w:color w:val="1A2A3A"/>
          <w:sz w:val="27"/>
        </w:rPr>
        <w:t>2. The Five Agent Service Level Indicators</w:t>
      </w:r>
    </w:p>
    <w:p>
      <w:r>
        <w:rPr>
          <w:i w:val="0"/>
          <w:sz w:val="21"/>
        </w:rPr>
        <w:t>Traditional indicators measure availability, latency and error rate against deterministic outputs. Agent indicators measure behaviours with no deterministic ground truth, which is why each one needs a named evaluation method as well as a target. An indicator without a stated measurement method cannot be enforced and will not be.</w:t>
      </w:r>
    </w:p>
    <w:tbl>
      <w:tblPr>
        <w:tblStyle w:val="TableGrid"/>
        <w:tblW w:type="auto" w:w="0"/>
        <w:jc w:val="center"/>
        <w:tblLook w:firstColumn="1" w:firstRow="1" w:lastColumn="0" w:lastRow="0" w:noHBand="0" w:noVBand="1" w:val="04A0"/>
      </w:tblPr>
      <w:tblGrid>
        <w:gridCol w:w="1958"/>
        <w:gridCol w:w="1958"/>
        <w:gridCol w:w="1958"/>
        <w:gridCol w:w="1958"/>
        <w:gridCol w:w="1958"/>
      </w:tblGrid>
      <w:tr>
        <w:tc>
          <w:tcPr>
            <w:tcW w:type="dxa" w:w="2016"/>
            <w:shd w:val="clear" w:fill="1A2A3A"/>
          </w:tcPr>
          <w:p>
            <w:r>
              <w:rPr>
                <w:b/>
                <w:color w:val="FFFFFF"/>
                <w:sz w:val="17"/>
              </w:rPr>
              <w:t>Indicator</w:t>
            </w:r>
          </w:p>
        </w:tc>
        <w:tc>
          <w:tcPr>
            <w:tcW w:type="dxa" w:w="3312"/>
            <w:shd w:val="clear" w:fill="1A2A3A"/>
          </w:tcPr>
          <w:p>
            <w:r>
              <w:rPr>
                <w:b/>
                <w:color w:val="FFFFFF"/>
                <w:sz w:val="17"/>
              </w:rPr>
              <w:t>What it measures</w:t>
            </w:r>
          </w:p>
        </w:tc>
        <w:tc>
          <w:tcPr>
            <w:tcW w:type="dxa" w:w="2880"/>
            <w:shd w:val="clear" w:fill="1A2A3A"/>
          </w:tcPr>
          <w:p>
            <w:r>
              <w:rPr>
                <w:b/>
                <w:color w:val="FFFFFF"/>
                <w:sz w:val="17"/>
              </w:rPr>
              <w:t>Evaluation method (you must state this)</w:t>
            </w:r>
          </w:p>
        </w:tc>
        <w:tc>
          <w:tcPr>
            <w:tcW w:type="dxa" w:w="1224"/>
            <w:shd w:val="clear" w:fill="1A2A3A"/>
          </w:tcPr>
          <w:p>
            <w:r>
              <w:rPr>
                <w:b/>
                <w:color w:val="FFFFFF"/>
                <w:sz w:val="17"/>
              </w:rPr>
              <w:t>Target (SLO)</w:t>
            </w:r>
          </w:p>
        </w:tc>
        <w:tc>
          <w:tcPr>
            <w:tcW w:type="dxa" w:w="1224"/>
            <w:shd w:val="clear" w:fill="1A2A3A"/>
          </w:tcPr>
          <w:p>
            <w:r>
              <w:rPr>
                <w:b/>
                <w:color w:val="FFFFFF"/>
                <w:sz w:val="17"/>
              </w:rPr>
              <w:t>Measured now</w:t>
            </w:r>
          </w:p>
        </w:tc>
      </w:tr>
      <w:tr>
        <w:tc>
          <w:tcPr>
            <w:tcW w:type="dxa" w:w="2016"/>
          </w:tcPr>
          <w:p>
            <w:r>
              <w:rPr>
                <w:sz w:val="18"/>
              </w:rPr>
              <w:t>Goal completion rate</w:t>
            </w:r>
          </w:p>
        </w:tc>
        <w:tc>
          <w:tcPr>
            <w:tcW w:type="dxa" w:w="3312"/>
          </w:tcPr>
          <w:p>
            <w:r>
              <w:rPr>
                <w:sz w:val="18"/>
              </w:rPr>
              <w:t>Percentage of agent tasks reaching successful completion as judged by the rubric the workload owner defined</w:t>
            </w:r>
          </w:p>
        </w:tc>
        <w:tc>
          <w:tcPr>
            <w:tcW w:type="dxa" w:w="2880"/>
          </w:tcPr>
          <w:p>
            <w:r>
              <w:rPr>
                <w:sz w:val="18"/>
              </w:rPr>
            </w:r>
          </w:p>
        </w:tc>
        <w:tc>
          <w:tcPr>
            <w:tcW w:type="dxa" w:w="1224"/>
          </w:tcPr>
          <w:p>
            <w:r>
              <w:rPr>
                <w:sz w:val="18"/>
              </w:rPr>
            </w:r>
          </w:p>
        </w:tc>
        <w:tc>
          <w:tcPr>
            <w:tcW w:type="dxa" w:w="1224"/>
          </w:tcPr>
          <w:p>
            <w:r>
              <w:rPr>
                <w:sz w:val="18"/>
              </w:rPr>
            </w:r>
          </w:p>
        </w:tc>
      </w:tr>
      <w:tr>
        <w:tc>
          <w:tcPr>
            <w:tcW w:type="dxa" w:w="2016"/>
          </w:tcPr>
          <w:p>
            <w:r>
              <w:rPr>
                <w:sz w:val="18"/>
              </w:rPr>
              <w:t>Latency at p50 and p99</w:t>
            </w:r>
          </w:p>
        </w:tc>
        <w:tc>
          <w:tcPr>
            <w:tcW w:type="dxa" w:w="3312"/>
          </w:tcPr>
          <w:p>
            <w:r>
              <w:rPr>
                <w:sz w:val="18"/>
              </w:rPr>
              <w:t>Typical and tail user experience, both, because the tail is where trust is lost</w:t>
            </w:r>
          </w:p>
        </w:tc>
        <w:tc>
          <w:tcPr>
            <w:tcW w:type="dxa" w:w="2880"/>
          </w:tcPr>
          <w:p>
            <w:r>
              <w:rPr>
                <w:sz w:val="18"/>
              </w:rPr>
            </w:r>
          </w:p>
        </w:tc>
        <w:tc>
          <w:tcPr>
            <w:tcW w:type="dxa" w:w="1224"/>
          </w:tcPr>
          <w:p>
            <w:r>
              <w:rPr>
                <w:sz w:val="18"/>
              </w:rPr>
            </w:r>
          </w:p>
        </w:tc>
        <w:tc>
          <w:tcPr>
            <w:tcW w:type="dxa" w:w="1224"/>
          </w:tcPr>
          <w:p>
            <w:r>
              <w:rPr>
                <w:sz w:val="18"/>
              </w:rPr>
            </w:r>
          </w:p>
        </w:tc>
      </w:tr>
      <w:tr>
        <w:tc>
          <w:tcPr>
            <w:tcW w:type="dxa" w:w="2016"/>
          </w:tcPr>
          <w:p>
            <w:r>
              <w:rPr>
                <w:sz w:val="18"/>
              </w:rPr>
              <w:t>Hallucination rate</w:t>
            </w:r>
          </w:p>
        </w:tc>
        <w:tc>
          <w:tcPr>
            <w:tcW w:type="dxa" w:w="3312"/>
          </w:tcPr>
          <w:p>
            <w:r>
              <w:rPr>
                <w:sz w:val="18"/>
              </w:rPr>
              <w:t>Frequency of unsupported assertions, measured against retrieval grounded benchmarks</w:t>
            </w:r>
          </w:p>
        </w:tc>
        <w:tc>
          <w:tcPr>
            <w:tcW w:type="dxa" w:w="2880"/>
          </w:tcPr>
          <w:p>
            <w:r>
              <w:rPr>
                <w:sz w:val="18"/>
              </w:rPr>
            </w:r>
          </w:p>
        </w:tc>
        <w:tc>
          <w:tcPr>
            <w:tcW w:type="dxa" w:w="1224"/>
          </w:tcPr>
          <w:p>
            <w:r>
              <w:rPr>
                <w:sz w:val="18"/>
              </w:rPr>
            </w:r>
          </w:p>
        </w:tc>
        <w:tc>
          <w:tcPr>
            <w:tcW w:type="dxa" w:w="1224"/>
          </w:tcPr>
          <w:p>
            <w:r>
              <w:rPr>
                <w:sz w:val="18"/>
              </w:rPr>
            </w:r>
          </w:p>
        </w:tc>
      </w:tr>
      <w:tr>
        <w:tc>
          <w:tcPr>
            <w:tcW w:type="dxa" w:w="2016"/>
          </w:tcPr>
          <w:p>
            <w:r>
              <w:rPr>
                <w:sz w:val="18"/>
              </w:rPr>
              <w:t>Tool selection accuracy</w:t>
            </w:r>
          </w:p>
        </w:tc>
        <w:tc>
          <w:tcPr>
            <w:tcW w:type="dxa" w:w="3312"/>
          </w:tcPr>
          <w:p>
            <w:r>
              <w:rPr>
                <w:sz w:val="18"/>
              </w:rPr>
              <w:t>Percentage of tool invocations matching the intent the agent was given</w:t>
            </w:r>
          </w:p>
        </w:tc>
        <w:tc>
          <w:tcPr>
            <w:tcW w:type="dxa" w:w="2880"/>
          </w:tcPr>
          <w:p>
            <w:r>
              <w:rPr>
                <w:sz w:val="18"/>
              </w:rPr>
            </w:r>
          </w:p>
        </w:tc>
        <w:tc>
          <w:tcPr>
            <w:tcW w:type="dxa" w:w="1224"/>
          </w:tcPr>
          <w:p>
            <w:r>
              <w:rPr>
                <w:sz w:val="18"/>
              </w:rPr>
            </w:r>
          </w:p>
        </w:tc>
        <w:tc>
          <w:tcPr>
            <w:tcW w:type="dxa" w:w="1224"/>
          </w:tcPr>
          <w:p>
            <w:r>
              <w:rPr>
                <w:sz w:val="18"/>
              </w:rPr>
            </w:r>
          </w:p>
        </w:tc>
      </w:tr>
      <w:tr>
        <w:tc>
          <w:tcPr>
            <w:tcW w:type="dxa" w:w="2016"/>
          </w:tcPr>
          <w:p>
            <w:r>
              <w:rPr>
                <w:sz w:val="18"/>
              </w:rPr>
              <w:t>Multi turn coherence</w:t>
            </w:r>
          </w:p>
        </w:tc>
        <w:tc>
          <w:tcPr>
            <w:tcW w:type="dxa" w:w="3312"/>
          </w:tcPr>
          <w:p>
            <w:r>
              <w:rPr>
                <w:sz w:val="18"/>
              </w:rPr>
              <w:t>Percentage of sessions maintaining context without drift across the full session length</w:t>
            </w:r>
          </w:p>
        </w:tc>
        <w:tc>
          <w:tcPr>
            <w:tcW w:type="dxa" w:w="2880"/>
          </w:tcPr>
          <w:p>
            <w:r>
              <w:rPr>
                <w:sz w:val="18"/>
              </w:rPr>
            </w:r>
          </w:p>
        </w:tc>
        <w:tc>
          <w:tcPr>
            <w:tcW w:type="dxa" w:w="1224"/>
          </w:tcPr>
          <w:p>
            <w:r>
              <w:rPr>
                <w:sz w:val="18"/>
              </w:rPr>
            </w:r>
          </w:p>
        </w:tc>
        <w:tc>
          <w:tcPr>
            <w:tcW w:type="dxa" w:w="1224"/>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EEF2F7"/>
          </w:tcPr>
          <w:p>
            <w:r>
              <w:rPr>
                <w:b/>
                <w:color w:val="1A2A3A"/>
                <w:sz w:val="20"/>
              </w:rPr>
              <w:t>On the rubric for goal completion</w:t>
            </w:r>
          </w:p>
          <w:p>
            <w:r>
              <w:rPr>
                <w:sz w:val="20"/>
              </w:rPr>
              <w:t>Goal completion is the indicator most often reported and least often defined. The rubric belongs to the workload owner, not to engineering, and it must be written down before the first measurement. If the rubric is written after the first measurement it will be written to fit it.</w:t>
            </w:r>
          </w:p>
        </w:tc>
      </w:tr>
    </w:tbl>
    <w:p/>
    <w:p>
      <w:pPr>
        <w:spacing w:before="320" w:after="120"/>
      </w:pPr>
      <w:r>
        <w:rPr>
          <w:b/>
          <w:color w:val="1A2A3A"/>
          <w:sz w:val="27"/>
        </w:rPr>
        <w:t>3. Error Budget 2.0, Stratified by Autonomy Level</w:t>
      </w:r>
    </w:p>
    <w:p>
      <w:r>
        <w:rPr>
          <w:i w:val="0"/>
          <w:sz w:val="21"/>
        </w:rPr>
        <w:t>A single error budget percentage across all agents is the uniform governance failure. The same agent technology, deployed at different autonomy levels, must face different reliability gates, because the consequence of budget exhaustion differs by level. At L2 exhaustion delays a deployment. At L4 it reflects harm that has already reached a user.</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1584"/>
            <w:shd w:val="clear" w:fill="1A2A3A"/>
          </w:tcPr>
          <w:p>
            <w:r>
              <w:rPr>
                <w:b/>
                <w:color w:val="FFFFFF"/>
                <w:sz w:val="17"/>
              </w:rPr>
              <w:t>Autonomy level</w:t>
            </w:r>
          </w:p>
        </w:tc>
        <w:tc>
          <w:tcPr>
            <w:tcW w:type="dxa" w:w="1728"/>
            <w:shd w:val="clear" w:fill="1A2A3A"/>
          </w:tcPr>
          <w:p>
            <w:r>
              <w:rPr>
                <w:b/>
                <w:color w:val="FFFFFF"/>
                <w:sz w:val="17"/>
              </w:rPr>
              <w:t>Budget posture</w:t>
            </w:r>
          </w:p>
        </w:tc>
        <w:tc>
          <w:tcPr>
            <w:tcW w:type="dxa" w:w="4464"/>
            <w:shd w:val="clear" w:fill="1A2A3A"/>
          </w:tcPr>
          <w:p>
            <w:r>
              <w:rPr>
                <w:b/>
                <w:color w:val="FFFFFF"/>
                <w:sz w:val="17"/>
              </w:rPr>
              <w:t>Why</w:t>
            </w:r>
          </w:p>
        </w:tc>
        <w:tc>
          <w:tcPr>
            <w:tcW w:type="dxa" w:w="2160"/>
            <w:shd w:val="clear" w:fill="1A2A3A"/>
          </w:tcPr>
          <w:p>
            <w:r>
              <w:rPr>
                <w:b/>
                <w:color w:val="FFFFFF"/>
                <w:sz w:val="17"/>
              </w:rPr>
              <w:t>Budget for this deployment</w:t>
            </w:r>
          </w:p>
        </w:tc>
      </w:tr>
      <w:tr>
        <w:tc>
          <w:tcPr>
            <w:tcW w:type="dxa" w:w="1584"/>
          </w:tcPr>
          <w:p>
            <w:r>
              <w:rPr>
                <w:sz w:val="18"/>
              </w:rPr>
              <w:t>L2</w:t>
            </w:r>
          </w:p>
        </w:tc>
        <w:tc>
          <w:tcPr>
            <w:tcW w:type="dxa" w:w="1728"/>
          </w:tcPr>
          <w:p>
            <w:r>
              <w:rPr>
                <w:sz w:val="18"/>
              </w:rPr>
              <w:t>Generous</w:t>
            </w:r>
          </w:p>
        </w:tc>
        <w:tc>
          <w:tcPr>
            <w:tcW w:type="dxa" w:w="4464"/>
          </w:tcPr>
          <w:p>
            <w:r>
              <w:rPr>
                <w:sz w:val="18"/>
              </w:rPr>
              <w:t>Every action is reviewed by a human before consequence. Exhaustion delays deployment but does not produce production harm</w:t>
            </w:r>
          </w:p>
        </w:tc>
        <w:tc>
          <w:tcPr>
            <w:tcW w:type="dxa" w:w="2160"/>
          </w:tcPr>
          <w:p>
            <w:r>
              <w:rPr>
                <w:sz w:val="18"/>
              </w:rPr>
              <w:t>Not applicable</w:t>
            </w:r>
          </w:p>
        </w:tc>
      </w:tr>
      <w:tr>
        <w:tc>
          <w:tcPr>
            <w:tcW w:type="dxa" w:w="1584"/>
          </w:tcPr>
          <w:p>
            <w:r>
              <w:rPr>
                <w:sz w:val="18"/>
              </w:rPr>
              <w:t>L3</w:t>
            </w:r>
          </w:p>
        </w:tc>
        <w:tc>
          <w:tcPr>
            <w:tcW w:type="dxa" w:w="1728"/>
          </w:tcPr>
          <w:p>
            <w:r>
              <w:rPr>
                <w:sz w:val="18"/>
              </w:rPr>
              <w:t>Moderate</w:t>
            </w:r>
          </w:p>
        </w:tc>
        <w:tc>
          <w:tcPr>
            <w:tcW w:type="dxa" w:w="4464"/>
          </w:tcPr>
          <w:p>
            <w:r>
              <w:rPr>
                <w:sz w:val="18"/>
              </w:rPr>
              <w:t>The agent acts within bounds and humans handle exceptions. Exhaustion means the bounds were wrong</w:t>
            </w:r>
          </w:p>
        </w:tc>
        <w:tc>
          <w:tcPr>
            <w:tcW w:type="dxa" w:w="2160"/>
          </w:tcPr>
          <w:p>
            <w:r>
              <w:rPr>
                <w:sz w:val="18"/>
              </w:rPr>
            </w:r>
          </w:p>
        </w:tc>
      </w:tr>
      <w:tr>
        <w:tc>
          <w:tcPr>
            <w:tcW w:type="dxa" w:w="1584"/>
          </w:tcPr>
          <w:p>
            <w:r>
              <w:rPr>
                <w:sz w:val="18"/>
              </w:rPr>
              <w:t>L4</w:t>
            </w:r>
          </w:p>
        </w:tc>
        <w:tc>
          <w:tcPr>
            <w:tcW w:type="dxa" w:w="1728"/>
          </w:tcPr>
          <w:p>
            <w:r>
              <w:rPr>
                <w:sz w:val="18"/>
              </w:rPr>
              <w:t>Strict</w:t>
            </w:r>
          </w:p>
        </w:tc>
        <w:tc>
          <w:tcPr>
            <w:tcW w:type="dxa" w:w="4464"/>
          </w:tcPr>
          <w:p>
            <w:r>
              <w:rPr>
                <w:sz w:val="18"/>
              </w:rPr>
              <w:t>Actions execute without human review. Exhaustion reflects actual user impact</w:t>
            </w:r>
          </w:p>
        </w:tc>
        <w:tc>
          <w:tcPr>
            <w:tcW w:type="dxa" w:w="2160"/>
          </w:tcPr>
          <w:p>
            <w:r>
              <w:rPr>
                <w:sz w:val="18"/>
              </w:rPr>
            </w:r>
          </w:p>
        </w:tc>
      </w:tr>
      <w:tr>
        <w:tc>
          <w:tcPr>
            <w:tcW w:type="dxa" w:w="1584"/>
          </w:tcPr>
          <w:p>
            <w:r>
              <w:rPr>
                <w:sz w:val="18"/>
              </w:rPr>
              <w:t>L5</w:t>
            </w:r>
          </w:p>
        </w:tc>
        <w:tc>
          <w:tcPr>
            <w:tcW w:type="dxa" w:w="1728"/>
          </w:tcPr>
          <w:p>
            <w:r>
              <w:rPr>
                <w:sz w:val="18"/>
              </w:rPr>
              <w:t>Strictest</w:t>
            </w:r>
          </w:p>
        </w:tc>
        <w:tc>
          <w:tcPr>
            <w:tcW w:type="dxa" w:w="4464"/>
          </w:tcPr>
          <w:p>
            <w:r>
              <w:rPr>
                <w:sz w:val="18"/>
              </w:rPr>
              <w:t>The autonomy level itself implies operation in domains where reversibility cannot be guaranteed</w:t>
            </w:r>
          </w:p>
        </w:tc>
        <w:tc>
          <w:tcPr>
            <w:tcW w:type="dxa" w:w="2160"/>
          </w:tcPr>
          <w:p>
            <w:r>
              <w:rPr>
                <w:sz w:val="18"/>
              </w:rPr>
            </w:r>
          </w:p>
        </w:tc>
      </w:tr>
    </w:tbl>
    <w:p/>
    <w:p>
      <w:pPr>
        <w:spacing w:before="220" w:after="80"/>
      </w:pPr>
      <w:r>
        <w:rPr>
          <w:b/>
          <w:color w:val="1A2A3A"/>
          <w:sz w:val="22"/>
        </w:rPr>
        <w:t>Burn rate thresholds and what each one triggers</w:t>
      </w:r>
    </w:p>
    <w:p>
      <w:r>
        <w:rPr>
          <w:i w:val="0"/>
          <w:sz w:val="21"/>
        </w:rPr>
        <w:t>A budget with no trigger attached is a metric. These three thresholds are what make it a control. Set the percentages for this deployment.</w:t>
      </w:r>
    </w:p>
    <w:tbl>
      <w:tblPr>
        <w:tblStyle w:val="TableGrid"/>
        <w:tblW w:type="auto" w:w="0"/>
        <w:jc w:val="center"/>
        <w:tblLook w:firstColumn="1" w:firstRow="1" w:lastColumn="0" w:lastRow="0" w:noHBand="0" w:noVBand="1" w:val="04A0"/>
      </w:tblPr>
      <w:tblGrid>
        <w:gridCol w:w="2448"/>
        <w:gridCol w:w="2448"/>
        <w:gridCol w:w="2448"/>
        <w:gridCol w:w="2448"/>
      </w:tblGrid>
      <w:tr>
        <w:tc>
          <w:tcPr>
            <w:tcW w:type="dxa" w:w="2160"/>
            <w:shd w:val="clear" w:fill="1A2A3A"/>
          </w:tcPr>
          <w:p>
            <w:r>
              <w:rPr>
                <w:b/>
                <w:color w:val="FFFFFF"/>
                <w:sz w:val="17"/>
              </w:rPr>
              <w:t>Burn rate threshold</w:t>
            </w:r>
          </w:p>
        </w:tc>
        <w:tc>
          <w:tcPr>
            <w:tcW w:type="dxa" w:w="3744"/>
            <w:shd w:val="clear" w:fill="1A2A3A"/>
          </w:tcPr>
          <w:p>
            <w:r>
              <w:rPr>
                <w:b/>
                <w:color w:val="FFFFFF"/>
                <w:sz w:val="17"/>
              </w:rPr>
              <w:t>Automatic consequence</w:t>
            </w:r>
          </w:p>
        </w:tc>
        <w:tc>
          <w:tcPr>
            <w:tcW w:type="dxa" w:w="1872"/>
            <w:shd w:val="clear" w:fill="1A2A3A"/>
          </w:tcPr>
          <w:p>
            <w:r>
              <w:rPr>
                <w:b/>
                <w:color w:val="FFFFFF"/>
                <w:sz w:val="17"/>
              </w:rPr>
              <w:t>Who is notified</w:t>
            </w:r>
          </w:p>
        </w:tc>
        <w:tc>
          <w:tcPr>
            <w:tcW w:type="dxa" w:w="2160"/>
            <w:shd w:val="clear" w:fill="1A2A3A"/>
          </w:tcPr>
          <w:p>
            <w:r>
              <w:rPr>
                <w:b/>
                <w:color w:val="FFFFFF"/>
                <w:sz w:val="17"/>
              </w:rPr>
              <w:t>Threshold for this deployment</w:t>
            </w:r>
          </w:p>
        </w:tc>
      </w:tr>
      <w:tr>
        <w:tc>
          <w:tcPr>
            <w:tcW w:type="dxa" w:w="2160"/>
          </w:tcPr>
          <w:p>
            <w:r>
              <w:rPr>
                <w:sz w:val="18"/>
              </w:rPr>
              <w:t>First threshold</w:t>
            </w:r>
          </w:p>
        </w:tc>
        <w:tc>
          <w:tcPr>
            <w:tcW w:type="dxa" w:w="3744"/>
          </w:tcPr>
          <w:p>
            <w:r>
              <w:rPr>
                <w:sz w:val="18"/>
              </w:rPr>
              <w:t>Increased review. Sampling rate rises and the workload owner is informed</w:t>
            </w:r>
          </w:p>
        </w:tc>
        <w:tc>
          <w:tcPr>
            <w:tcW w:type="dxa" w:w="1872"/>
          </w:tcPr>
          <w:p>
            <w:r>
              <w:rPr>
                <w:sz w:val="18"/>
              </w:rPr>
            </w:r>
          </w:p>
        </w:tc>
        <w:tc>
          <w:tcPr>
            <w:tcW w:type="dxa" w:w="2160"/>
          </w:tcPr>
          <w:p>
            <w:r>
              <w:rPr>
                <w:sz w:val="18"/>
              </w:rPr>
            </w:r>
          </w:p>
        </w:tc>
      </w:tr>
      <w:tr>
        <w:tc>
          <w:tcPr>
            <w:tcW w:type="dxa" w:w="2160"/>
          </w:tcPr>
          <w:p>
            <w:r>
              <w:rPr>
                <w:sz w:val="18"/>
              </w:rPr>
              <w:t>Second threshold</w:t>
            </w:r>
          </w:p>
        </w:tc>
        <w:tc>
          <w:tcPr>
            <w:tcW w:type="dxa" w:w="3744"/>
          </w:tcPr>
          <w:p>
            <w:r>
              <w:rPr>
                <w:sz w:val="18"/>
              </w:rPr>
              <w:t>Deployment freeze. No further change ships until the budget recovers</w:t>
            </w:r>
          </w:p>
        </w:tc>
        <w:tc>
          <w:tcPr>
            <w:tcW w:type="dxa" w:w="1872"/>
          </w:tcPr>
          <w:p>
            <w:r>
              <w:rPr>
                <w:sz w:val="18"/>
              </w:rPr>
            </w:r>
          </w:p>
        </w:tc>
        <w:tc>
          <w:tcPr>
            <w:tcW w:type="dxa" w:w="2160"/>
          </w:tcPr>
          <w:p>
            <w:r>
              <w:rPr>
                <w:sz w:val="18"/>
              </w:rPr>
            </w:r>
          </w:p>
        </w:tc>
      </w:tr>
      <w:tr>
        <w:tc>
          <w:tcPr>
            <w:tcW w:type="dxa" w:w="2160"/>
          </w:tcPr>
          <w:p>
            <w:r>
              <w:rPr>
                <w:sz w:val="18"/>
              </w:rPr>
              <w:t>Third threshold</w:t>
            </w:r>
          </w:p>
        </w:tc>
        <w:tc>
          <w:tcPr>
            <w:tcW w:type="dxa" w:w="3744"/>
          </w:tcPr>
          <w:p>
            <w:r>
              <w:rPr>
                <w:sz w:val="18"/>
              </w:rPr>
              <w:t>Emergency rollback. The agent is returned to a lower autonomy level or contained</w:t>
            </w:r>
          </w:p>
        </w:tc>
        <w:tc>
          <w:tcPr>
            <w:tcW w:type="dxa" w:w="1872"/>
          </w:tcPr>
          <w:p>
            <w:r>
              <w:rPr>
                <w:sz w:val="18"/>
              </w:rPr>
            </w:r>
          </w:p>
        </w:tc>
        <w:tc>
          <w:tcPr>
            <w:tcW w:type="dxa" w:w="2160"/>
          </w:tcPr>
          <w:p>
            <w:r>
              <w:rPr>
                <w:sz w:val="18"/>
              </w:rPr>
            </w:r>
          </w:p>
        </w:tc>
      </w:tr>
    </w:tbl>
    <w:p/>
    <w:tbl>
      <w:tblPr>
        <w:tblStyle w:val="TableGrid"/>
        <w:tblW w:type="auto" w:w="0"/>
        <w:tblLook w:firstColumn="1" w:firstRow="1" w:lastColumn="0" w:lastRow="0" w:noHBand="0" w:noVBand="1" w:val="04A0"/>
      </w:tblPr>
      <w:tblGrid>
        <w:gridCol w:w="9792"/>
      </w:tblGrid>
      <w:tr>
        <w:tc>
          <w:tcPr>
            <w:tcW w:type="dxa" w:w="9792"/>
            <w:shd w:val="clear" w:fill="FFF9E6"/>
          </w:tcPr>
          <w:p>
            <w:r>
              <w:rPr>
                <w:b/>
                <w:color w:val="1A2A3A"/>
                <w:sz w:val="20"/>
              </w:rPr>
              <w:t>The test of this section</w:t>
            </w:r>
          </w:p>
          <w:p>
            <w:r>
              <w:rPr>
                <w:sz w:val="20"/>
              </w:rPr>
              <w:t>The consequences above must be automatic. If a burn rate threshold requires someone to decide to act, it will be discussed rather than triggered, and it will be discussed at exactly the moment everyone is busy. Wire the freeze to the deployment pipeline, not to a meeting.</w:t>
            </w:r>
          </w:p>
        </w:tc>
      </w:tr>
    </w:tbl>
    <w:p/>
    <w:p>
      <w:pPr>
        <w:spacing w:before="320" w:after="120"/>
      </w:pPr>
      <w:r>
        <w:rPr>
          <w:b/>
          <w:color w:val="1A2A3A"/>
          <w:sz w:val="27"/>
        </w:rPr>
        <w:t>4. Autonomy Level Change</w:t>
      </w:r>
    </w:p>
    <w:p>
      <w:r>
        <w:rPr>
          <w:i w:val="0"/>
          <w:sz w:val="21"/>
        </w:rPr>
        <w:t>This is the clause that prevents the failure mode named at the top of this document.</w:t>
      </w:r>
    </w:p>
    <w:p>
      <w:pPr>
        <w:pStyle w:val="ListNumber"/>
        <w:spacing w:after="60"/>
      </w:pPr>
      <w:r>
        <w:rPr>
          <w:sz w:val="21"/>
        </w:rPr>
        <w:t>No deployment may operate above the autonomy level recorded in section 1 without a new signature from all four parties.</w:t>
      </w:r>
    </w:p>
    <w:p>
      <w:pPr>
        <w:pStyle w:val="ListNumber"/>
        <w:spacing w:after="60"/>
      </w:pPr>
      <w:r>
        <w:rPr>
          <w:sz w:val="21"/>
        </w:rPr>
        <w:t>A change of autonomy level requires the error budget in section 3 to be reset to the posture for the new level before the change takes effect, not after the first review.</w:t>
      </w:r>
    </w:p>
    <w:p>
      <w:pPr>
        <w:pStyle w:val="ListNumber"/>
        <w:spacing w:after="60"/>
      </w:pPr>
      <w:r>
        <w:rPr>
          <w:sz w:val="21"/>
        </w:rPr>
        <w:t>A promotion from L3 to L4 or above requires the containment path to have been tested by someone other than its author, with the elapsed time recorded, within the preceding ninety days.</w:t>
      </w:r>
    </w:p>
    <w:p>
      <w:pPr>
        <w:pStyle w:val="ListNumber"/>
        <w:spacing w:after="60"/>
      </w:pPr>
      <w:r>
        <w:rPr>
          <w:sz w:val="21"/>
        </w:rPr>
        <w:t>A demotion is not a failure of the contract. It is the contract working. Record it and move on.</w:t>
      </w:r>
    </w:p>
    <w:p>
      <w:pPr>
        <w:spacing w:before="320" w:after="120"/>
      </w:pPr>
      <w:r>
        <w:rPr>
          <w:b/>
          <w:color w:val="1A2A3A"/>
          <w:sz w:val="27"/>
        </w:rPr>
        <w:t>5. Review and Evidence</w:t>
      </w:r>
    </w:p>
    <w:p>
      <w:r>
        <w:rPr>
          <w:i w:val="0"/>
          <w:sz w:val="21"/>
        </w:rPr>
        <w:t>The contract is reviewed at the same cadence as the AI Economics Council, and on any autonomy change. At each review, record the following and keep it, because this is the evidence that answers Article 15 on accuracy, robustness and cybersecurity, and NIST AI RMF MEASURE 2.5 and 2.7.</w:t>
      </w:r>
    </w:p>
    <w:p>
      <w:pPr>
        <w:pStyle w:val="ListBullet"/>
        <w:spacing w:after="60"/>
      </w:pPr>
      <w:r>
        <w:rPr>
          <w:sz w:val="21"/>
        </w:rPr>
        <w:t>Actual performance against each of the five indicators, with the measurement method unchanged from the previous period or the change explained</w:t>
      </w:r>
    </w:p>
    <w:p>
      <w:pPr>
        <w:pStyle w:val="ListBullet"/>
        <w:spacing w:after="60"/>
      </w:pPr>
      <w:r>
        <w:rPr>
          <w:sz w:val="21"/>
        </w:rPr>
        <w:t>Budget consumed, and any threshold crossed with the consequence that followed</w:t>
      </w:r>
    </w:p>
    <w:p>
      <w:pPr>
        <w:pStyle w:val="ListBullet"/>
        <w:spacing w:after="60"/>
      </w:pPr>
      <w:r>
        <w:rPr>
          <w:sz w:val="21"/>
        </w:rPr>
        <w:t>Whether any threshold was crossed without the consequence following, which is the most important line in the review</w:t>
      </w:r>
    </w:p>
    <w:p>
      <w:pPr>
        <w:pStyle w:val="ListBullet"/>
        <w:spacing w:after="60"/>
      </w:pPr>
      <w:r>
        <w:rPr>
          <w:sz w:val="21"/>
        </w:rPr>
        <w:t>Any autonomy level change, with the four signatures</w:t>
      </w:r>
    </w:p>
    <w:p>
      <w:pPr>
        <w:pStyle w:val="ListBullet"/>
        <w:spacing w:after="60"/>
      </w:pPr>
      <w:r>
        <w:rPr>
          <w:sz w:val="21"/>
        </w:rPr>
        <w:t>Whether the goal completion rubric changed, and if so who approved it</w:t>
      </w:r>
    </w:p>
    <w:p>
      <w:pPr>
        <w:spacing w:before="320" w:after="120"/>
      </w:pPr>
      <w:r>
        <w:rPr>
          <w:b/>
          <w:color w:val="1A2A3A"/>
          <w:sz w:val="27"/>
        </w:rPr>
        <w:t>Basis and Limits</w:t>
      </w:r>
    </w:p>
    <w:p>
      <w:r>
        <w:rPr>
          <w:i/>
          <w:sz w:val="19"/>
        </w:rPr>
        <w:t>This instrument is a working template from the companion toolkit to When Agents Rule by Steven Oppenheim. It is blank by design: it provides the structure, the questions and the tests, and you provide the content. It is not an audit, a certification or a benchmark, and it is not legal, technical or financial advice. It does not set reliability targets for you: the targets that matter are the ones your workload owner will defend. Every regulatory reference must be verified against the primary text, and dates in this area have moved once already. Free for internal use inside your own organization; see the usage policy for redistribution.</w:t>
      </w:r>
    </w:p>
    <w:sectPr w:rsidR="00FC693F" w:rsidRPr="0006063C"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