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Book Club and Executive Reading Guide</w:t>
      </w:r>
    </w:p>
    <w:p>
      <w:pPr>
        <w:jc w:val="center"/>
      </w:pPr>
      <w:r>
        <w:rPr>
          <w:i/>
          <w:color w:val="6B7785"/>
          <w:sz w:val="22"/>
        </w:rPr>
        <w:t>Six sessions for a leadership team reading the book together, each ending in a decision rather than a discussion</w:t>
      </w:r>
    </w:p>
    <w:p>
      <w:pPr>
        <w:jc w:val="center"/>
      </w:pPr>
      <w:r>
        <w:rPr>
          <w:color w:val="6B7785"/>
          <w:sz w:val="17"/>
        </w:rPr>
        <w:t>Companion toolkit, September 2026  //  For use with When Agents Rule, seventeen chapters in five parts</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How this guide differs from a reading list</w:t>
            </w:r>
          </w:p>
          <w:p>
            <w:r>
              <w:rPr>
                <w:sz w:val="20"/>
              </w:rPr>
              <w:t>Every session ends with a decision the team records, and an instrument the team actually runs. A leadership team that reads seventeen chapters and makes no decisions has spent six meetings confirming that the subject is difficult.</w:t>
            </w:r>
          </w:p>
        </w:tc>
      </w:tr>
    </w:tbl>
    <w:p/>
    <w:p>
      <w:pPr>
        <w:spacing w:before="320" w:after="120"/>
      </w:pPr>
      <w:r>
        <w:rPr>
          <w:b/>
          <w:color w:val="1A2A3A"/>
          <w:sz w:val="27"/>
        </w:rPr>
        <w:t>How To Run It</w:t>
      </w:r>
    </w:p>
    <w:p>
      <w:pPr>
        <w:pStyle w:val="ListBullet"/>
        <w:spacing w:after="60"/>
      </w:pPr>
      <w:r>
        <w:rPr>
          <w:sz w:val="21"/>
        </w:rPr>
        <w:t>Six sessions, ninety minutes each, fortnightly. Fortnightly rather than weekly so the between session work happens.</w:t>
      </w:r>
    </w:p>
    <w:p>
      <w:pPr>
        <w:pStyle w:val="ListBullet"/>
        <w:spacing w:after="60"/>
      </w:pPr>
      <w:r>
        <w:rPr>
          <w:sz w:val="21"/>
        </w:rPr>
        <w:t>Six to ten participants. Include finance and at least one business unit leader, not only technology. The A.R.T. evidence is that adding finance changes the Tenacity conversation more than any other participant.</w:t>
      </w:r>
    </w:p>
    <w:p>
      <w:pPr>
        <w:pStyle w:val="ListBullet"/>
        <w:spacing w:after="60"/>
      </w:pPr>
      <w:r>
        <w:rPr>
          <w:sz w:val="21"/>
        </w:rPr>
        <w:t>One person runs each session, and it should not be the same person every time.</w:t>
      </w:r>
    </w:p>
    <w:p>
      <w:pPr>
        <w:pStyle w:val="ListBullet"/>
        <w:spacing w:after="60"/>
      </w:pPr>
      <w:r>
        <w:rPr>
          <w:sz w:val="21"/>
        </w:rPr>
        <w:t>Between sessions, one instrument is run against a real system. Not a hypothetical one.</w:t>
      </w:r>
    </w:p>
    <w:p>
      <w:pPr>
        <w:pStyle w:val="ListBullet"/>
        <w:spacing w:after="60"/>
      </w:pPr>
      <w:r>
        <w:rPr>
          <w:sz w:val="21"/>
        </w:rPr>
        <w:t>Record the decision at the end of each session in two sentences. Circulate before the next.</w:t>
      </w:r>
    </w:p>
    <w:p>
      <w:pPr>
        <w:spacing w:before="320" w:after="120"/>
      </w:pPr>
      <w:r>
        <w:rPr>
          <w:b/>
          <w:color w:val="1A2A3A"/>
          <w:sz w:val="27"/>
        </w:rPr>
        <w:t>Session 1. The Convergence and the Clock</w:t>
      </w:r>
    </w:p>
    <w:p>
      <w:r>
        <w:rPr>
          <w:b/>
          <w:sz w:val="20"/>
        </w:rPr>
        <w:t xml:space="preserve">Reading: </w:t>
      </w:r>
      <w:r>
        <w:rPr>
          <w:sz w:val="20"/>
        </w:rPr>
        <w:t>Introduction, Executive Brief, Chapters 1 to 3</w:t>
      </w:r>
    </w:p>
    <w:p>
      <w:r>
        <w:rPr>
          <w:b/>
          <w:sz w:val="20"/>
        </w:rPr>
        <w:t xml:space="preserve">Instrument to run before or during: </w:t>
      </w:r>
      <w:r>
        <w:rPr>
          <w:sz w:val="20"/>
        </w:rPr>
        <w:t>Run the Sovereignty Clock Reader as a group, on one real business unit</w:t>
      </w:r>
    </w:p>
    <w:p>
      <w:pPr>
        <w:spacing w:before="220" w:after="80"/>
      </w:pPr>
      <w:r>
        <w:rPr>
          <w:b/>
          <w:color w:val="1A2A3A"/>
          <w:sz w:val="22"/>
        </w:rPr>
        <w:t>Discussion</w:t>
      </w:r>
    </w:p>
    <w:p>
      <w:pPr>
        <w:pStyle w:val="ListBullet"/>
        <w:spacing w:after="60"/>
      </w:pPr>
      <w:r>
        <w:rPr>
          <w:sz w:val="21"/>
        </w:rPr>
        <w:t>Where did the group disagree on the clock reading, and why</w:t>
      </w:r>
    </w:p>
    <w:p>
      <w:pPr>
        <w:pStyle w:val="ListBullet"/>
        <w:spacing w:after="60"/>
      </w:pPr>
      <w:r>
        <w:rPr>
          <w:sz w:val="21"/>
        </w:rPr>
        <w:t>Which of the three crises is already on somebody's desk here</w:t>
      </w:r>
    </w:p>
    <w:p>
      <w:pPr>
        <w:pStyle w:val="ListBullet"/>
        <w:spacing w:after="60"/>
      </w:pPr>
      <w:r>
        <w:rPr>
          <w:sz w:val="21"/>
        </w:rPr>
        <w:t>If the reading is uncomfortable, is the discomfort about the score or about who owns it</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Which quadrant is closest to midnight for us, and do we agree on the reading</w:t>
            </w:r>
          </w:p>
        </w:tc>
      </w:tr>
    </w:tbl>
    <w:p/>
    <w:p>
      <w:pPr>
        <w:spacing w:before="320" w:after="120"/>
      </w:pPr>
      <w:r>
        <w:rPr>
          <w:b/>
          <w:color w:val="1A2A3A"/>
          <w:sz w:val="27"/>
        </w:rPr>
        <w:t>Session 2. Classifying What We Actually Run</w:t>
      </w:r>
    </w:p>
    <w:p>
      <w:r>
        <w:rPr>
          <w:b/>
          <w:sz w:val="20"/>
        </w:rPr>
        <w:t xml:space="preserve">Reading: </w:t>
      </w:r>
      <w:r>
        <w:rPr>
          <w:sz w:val="20"/>
        </w:rPr>
        <w:t>Chapters 4 and 5</w:t>
      </w:r>
    </w:p>
    <w:p>
      <w:r>
        <w:rPr>
          <w:b/>
          <w:sz w:val="20"/>
        </w:rPr>
        <w:t xml:space="preserve">Instrument to run before or during: </w:t>
      </w:r>
      <w:r>
        <w:rPr>
          <w:sz w:val="20"/>
        </w:rPr>
        <w:t>Run the L0 to L5 Classifier on the three systems the group is least comfortable about</w:t>
      </w:r>
    </w:p>
    <w:p>
      <w:pPr>
        <w:spacing w:before="220" w:after="80"/>
      </w:pPr>
      <w:r>
        <w:rPr>
          <w:b/>
          <w:color w:val="1A2A3A"/>
          <w:sz w:val="22"/>
        </w:rPr>
        <w:t>Discussion</w:t>
      </w:r>
    </w:p>
    <w:p>
      <w:pPr>
        <w:pStyle w:val="ListBullet"/>
        <w:spacing w:after="60"/>
      </w:pPr>
      <w:r>
        <w:rPr>
          <w:sz w:val="21"/>
        </w:rPr>
        <w:t>Did any system classify higher than the group expected, and what drove that</w:t>
      </w:r>
    </w:p>
    <w:p>
      <w:pPr>
        <w:pStyle w:val="ListBullet"/>
        <w:spacing w:after="60"/>
      </w:pPr>
      <w:r>
        <w:rPr>
          <w:sz w:val="21"/>
        </w:rPr>
        <w:t>Which systems hold credentials broader than their autonomy tier warrants</w:t>
      </w:r>
    </w:p>
    <w:p>
      <w:pPr>
        <w:pStyle w:val="ListBullet"/>
        <w:spacing w:after="60"/>
      </w:pPr>
      <w:r>
        <w:rPr>
          <w:sz w:val="21"/>
        </w:rPr>
        <w:t>Do we have a system nobody in this room authorised</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What is our highest autonomy system, and who authorised its credentials</w:t>
            </w:r>
          </w:p>
        </w:tc>
      </w:tr>
    </w:tbl>
    <w:p/>
    <w:p>
      <w:pPr>
        <w:spacing w:before="320" w:after="120"/>
      </w:pPr>
      <w:r>
        <w:rPr>
          <w:b/>
          <w:color w:val="1A2A3A"/>
          <w:sz w:val="27"/>
        </w:rPr>
        <w:t>Session 3. The Quantum Arithmetic</w:t>
      </w:r>
    </w:p>
    <w:p>
      <w:r>
        <w:rPr>
          <w:b/>
          <w:sz w:val="20"/>
        </w:rPr>
        <w:t xml:space="preserve">Reading: </w:t>
      </w:r>
      <w:r>
        <w:rPr>
          <w:sz w:val="20"/>
        </w:rPr>
        <w:t>Chapters 2, 6 and 11</w:t>
      </w:r>
    </w:p>
    <w:p>
      <w:r>
        <w:rPr>
          <w:b/>
          <w:sz w:val="20"/>
        </w:rPr>
        <w:t xml:space="preserve">Instrument to run before or during: </w:t>
      </w:r>
      <w:r>
        <w:rPr>
          <w:sz w:val="20"/>
        </w:rPr>
        <w:t>Run the Quantum Shelf Life Calculator on the data class with the longest retention</w:t>
      </w:r>
    </w:p>
    <w:p>
      <w:pPr>
        <w:spacing w:before="220" w:after="80"/>
      </w:pPr>
      <w:r>
        <w:rPr>
          <w:b/>
          <w:color w:val="1A2A3A"/>
          <w:sz w:val="22"/>
        </w:rPr>
        <w:t>Discussion</w:t>
      </w:r>
    </w:p>
    <w:p>
      <w:pPr>
        <w:pStyle w:val="ListBullet"/>
        <w:spacing w:after="60"/>
      </w:pPr>
      <w:r>
        <w:rPr>
          <w:sz w:val="21"/>
        </w:rPr>
        <w:t>Is our protection margin negative for any class, and did we know before today</w:t>
      </w:r>
    </w:p>
    <w:p>
      <w:pPr>
        <w:pStyle w:val="ListBullet"/>
        <w:spacing w:after="60"/>
      </w:pPr>
      <w:r>
        <w:rPr>
          <w:sz w:val="21"/>
        </w:rPr>
        <w:t>Is our migration duration a costed plan or an estimate, and who would defend it</w:t>
      </w:r>
    </w:p>
    <w:p>
      <w:pPr>
        <w:pStyle w:val="ListBullet"/>
        <w:spacing w:after="60"/>
      </w:pPr>
      <w:r>
        <w:rPr>
          <w:sz w:val="21"/>
        </w:rPr>
        <w:t>Are we in a federal supply chain, and if so have we re run this at 2030 rather than 2035</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Which data classes are already exposed, and what is the honest migration duration</w:t>
            </w:r>
          </w:p>
        </w:tc>
      </w:tr>
    </w:tbl>
    <w:p/>
    <w:p>
      <w:pPr>
        <w:spacing w:before="320" w:after="120"/>
      </w:pPr>
      <w:r>
        <w:rPr>
          <w:b/>
          <w:color w:val="1A2A3A"/>
          <w:sz w:val="27"/>
        </w:rPr>
        <w:t>Session 4. Regulation as a Calendar, Not a Cloud</w:t>
      </w:r>
    </w:p>
    <w:p>
      <w:r>
        <w:rPr>
          <w:b/>
          <w:sz w:val="20"/>
        </w:rPr>
        <w:t xml:space="preserve">Reading: </w:t>
      </w:r>
      <w:r>
        <w:rPr>
          <w:sz w:val="20"/>
        </w:rPr>
        <w:t>Chapters 3, 7, 8 and 14</w:t>
      </w:r>
    </w:p>
    <w:p>
      <w:r>
        <w:rPr>
          <w:b/>
          <w:sz w:val="20"/>
        </w:rPr>
        <w:t xml:space="preserve">Instrument to run before or during: </w:t>
      </w:r>
      <w:r>
        <w:rPr>
          <w:sz w:val="20"/>
        </w:rPr>
        <w:t>Run the EU AI Act Deadline Checker on one system, and read the Since Publication log</w:t>
      </w:r>
    </w:p>
    <w:p>
      <w:pPr>
        <w:spacing w:before="220" w:after="80"/>
      </w:pPr>
      <w:r>
        <w:rPr>
          <w:b/>
          <w:color w:val="1A2A3A"/>
          <w:sz w:val="22"/>
        </w:rPr>
        <w:t>Discussion</w:t>
      </w:r>
    </w:p>
    <w:p>
      <w:pPr>
        <w:pStyle w:val="ListBullet"/>
        <w:spacing w:after="60"/>
      </w:pPr>
      <w:r>
        <w:rPr>
          <w:sz w:val="21"/>
        </w:rPr>
        <w:t>Did anyone in the room believe the whole regime had been delayed</w:t>
      </w:r>
    </w:p>
    <w:p>
      <w:pPr>
        <w:pStyle w:val="ListBullet"/>
        <w:spacing w:after="60"/>
      </w:pPr>
      <w:r>
        <w:rPr>
          <w:sz w:val="21"/>
        </w:rPr>
        <w:t>Do we have an Article 6(3) filter claim anywhere, and is it documented</w:t>
      </w:r>
    </w:p>
    <w:p>
      <w:pPr>
        <w:pStyle w:val="ListBullet"/>
        <w:spacing w:after="60"/>
      </w:pPr>
      <w:r>
        <w:rPr>
          <w:sz w:val="21"/>
        </w:rPr>
        <w:t>Who is our named owner for regulatory dates, and do they know it</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Which of our obligations are live today, and which were deferred</w:t>
            </w:r>
          </w:p>
        </w:tc>
      </w:tr>
    </w:tbl>
    <w:p/>
    <w:p>
      <w:pPr>
        <w:spacing w:before="320" w:after="120"/>
      </w:pPr>
      <w:r>
        <w:rPr>
          <w:b/>
          <w:color w:val="1A2A3A"/>
          <w:sz w:val="27"/>
        </w:rPr>
        <w:t>Session 5. Paying For It</w:t>
      </w:r>
    </w:p>
    <w:p>
      <w:r>
        <w:rPr>
          <w:b/>
          <w:sz w:val="20"/>
        </w:rPr>
        <w:t xml:space="preserve">Reading: </w:t>
      </w:r>
      <w:r>
        <w:rPr>
          <w:sz w:val="20"/>
        </w:rPr>
        <w:t>Chapters 9, 10 and 11</w:t>
      </w:r>
    </w:p>
    <w:p>
      <w:r>
        <w:rPr>
          <w:b/>
          <w:sz w:val="20"/>
        </w:rPr>
        <w:t xml:space="preserve">Instrument to run before or during: </w:t>
      </w:r>
      <w:r>
        <w:rPr>
          <w:sz w:val="20"/>
        </w:rPr>
        <w:t>Run the CpCD Calculator on one high volume workload, and take the challenged case seriously</w:t>
      </w:r>
    </w:p>
    <w:p>
      <w:pPr>
        <w:spacing w:before="220" w:after="80"/>
      </w:pPr>
      <w:r>
        <w:rPr>
          <w:b/>
          <w:color w:val="1A2A3A"/>
          <w:sz w:val="22"/>
        </w:rPr>
        <w:t>Discussion</w:t>
      </w:r>
    </w:p>
    <w:p>
      <w:pPr>
        <w:pStyle w:val="ListBullet"/>
        <w:spacing w:after="60"/>
      </w:pPr>
      <w:r>
        <w:rPr>
          <w:sz w:val="21"/>
        </w:rPr>
        <w:t>Does the case stand on cost reduction alone, or does it need avoided loss</w:t>
      </w:r>
    </w:p>
    <w:p>
      <w:pPr>
        <w:pStyle w:val="ListBullet"/>
        <w:spacing w:after="60"/>
      </w:pPr>
      <w:r>
        <w:rPr>
          <w:sz w:val="21"/>
        </w:rPr>
        <w:t>What did the challenged case do to the number, and which inputs caused it</w:t>
      </w:r>
    </w:p>
    <w:p>
      <w:pPr>
        <w:pStyle w:val="ListBullet"/>
        <w:spacing w:after="60"/>
      </w:pPr>
      <w:r>
        <w:rPr>
          <w:sz w:val="21"/>
        </w:rPr>
        <w:t>What is the present value cost of waiting a year, and are we willing to pay it</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Would this business case survive our own CFO, and if not what is missing</w:t>
            </w:r>
          </w:p>
        </w:tc>
      </w:tr>
    </w:tbl>
    <w:p/>
    <w:p>
      <w:pPr>
        <w:spacing w:before="320" w:after="120"/>
      </w:pPr>
      <w:r>
        <w:rPr>
          <w:b/>
          <w:color w:val="1A2A3A"/>
          <w:sz w:val="27"/>
        </w:rPr>
        <w:t>Session 6. The Capability and the Commitments</w:t>
      </w:r>
    </w:p>
    <w:p>
      <w:r>
        <w:rPr>
          <w:b/>
          <w:sz w:val="20"/>
        </w:rPr>
        <w:t xml:space="preserve">Reading: </w:t>
      </w:r>
      <w:r>
        <w:rPr>
          <w:sz w:val="20"/>
        </w:rPr>
        <w:t>Chapters 12, 15, 16 and 17</w:t>
      </w:r>
    </w:p>
    <w:p>
      <w:r>
        <w:rPr>
          <w:b/>
          <w:sz w:val="20"/>
        </w:rPr>
        <w:t xml:space="preserve">Instrument to run before or during: </w:t>
      </w:r>
      <w:r>
        <w:rPr>
          <w:sz w:val="20"/>
        </w:rPr>
        <w:t>Run the A.R.T. Capability Assessment with at least three functions present</w:t>
      </w:r>
    </w:p>
    <w:p>
      <w:pPr>
        <w:spacing w:before="220" w:after="80"/>
      </w:pPr>
      <w:r>
        <w:rPr>
          <w:b/>
          <w:color w:val="1A2A3A"/>
          <w:sz w:val="22"/>
        </w:rPr>
        <w:t>Discussion</w:t>
      </w:r>
    </w:p>
    <w:p>
      <w:pPr>
        <w:pStyle w:val="ListBullet"/>
        <w:spacing w:after="60"/>
      </w:pPr>
      <w:r>
        <w:rPr>
          <w:sz w:val="21"/>
        </w:rPr>
        <w:t>Is the binding constraint Agility, Risk Readiness or Tenacity, and was that a surprise</w:t>
      </w:r>
    </w:p>
    <w:p>
      <w:pPr>
        <w:pStyle w:val="ListBullet"/>
        <w:spacing w:after="60"/>
      </w:pPr>
      <w:r>
        <w:rPr>
          <w:sz w:val="21"/>
        </w:rPr>
        <w:t>Which of the Eight Commitments could each person here actually sign today</w:t>
      </w:r>
    </w:p>
    <w:p>
      <w:pPr>
        <w:pStyle w:val="ListBullet"/>
        <w:spacing w:after="60"/>
      </w:pPr>
      <w:r>
        <w:rPr>
          <w:sz w:val="21"/>
        </w:rPr>
        <w:t>Which commitment would we fail, and what would it take to be able to sign it</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Decision to record at the end of this session</w:t>
            </w:r>
          </w:p>
          <w:p>
            <w:r>
              <w:rPr>
                <w:sz w:val="20"/>
              </w:rPr>
              <w:t>Which capability is our binding constraint, and what are we going to fund</w:t>
            </w:r>
          </w:p>
        </w:tc>
      </w:tr>
    </w:tbl>
    <w:p/>
    <w:p>
      <w:pPr>
        <w:spacing w:before="320" w:after="120"/>
      </w:pPr>
      <w:r>
        <w:rPr>
          <w:b/>
          <w:color w:val="1A2A3A"/>
          <w:sz w:val="27"/>
        </w:rPr>
        <w:t>After the Six Sessions</w:t>
      </w:r>
    </w:p>
    <w:p>
      <w:r>
        <w:rPr>
          <w:i w:val="0"/>
          <w:sz w:val="21"/>
        </w:rPr>
        <w:t>Six recorded decisions, six instruments run against real systems, and a binding constraint named. That is a governance programme with a starting point, which is more than most organisations have after a year of discussion. The Toolkit Index sets out the ninety day sequence for what follows; the Sprint Tracker turns it into gates.</w:t>
      </w:r>
    </w:p>
    <w:p>
      <w:pPr>
        <w:spacing w:before="220" w:after="80"/>
      </w:pPr>
      <w:r>
        <w:rPr>
          <w:b/>
          <w:color w:val="1A2A3A"/>
          <w:sz w:val="22"/>
        </w:rPr>
        <w:t>Two honest cautions for whoever runs this</w:t>
      </w:r>
    </w:p>
    <w:p>
      <w:pPr>
        <w:pStyle w:val="ListBullet"/>
        <w:spacing w:after="60"/>
      </w:pPr>
      <w:r>
        <w:rPr>
          <w:sz w:val="21"/>
        </w:rPr>
        <w:t>The sessions get harder, not easier. Session 6 asks people whether they could sign a commitment, and some will say no. That is the useful outcome, not a failure of the session.</w:t>
      </w:r>
    </w:p>
    <w:p>
      <w:pPr>
        <w:pStyle w:val="ListBullet"/>
        <w:spacing w:after="60"/>
      </w:pPr>
      <w:r>
        <w:rPr>
          <w:sz w:val="21"/>
        </w:rPr>
        <w:t>If the group runs every instrument and the results are all comfortable, either you are genuinely in good shape or the inputs were generous. The confidence grades on each tool are there to tell you which, and they are worth reading aloud.</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This guide reproduces no part of the book; the reading is the book and the guide is the structure around it.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