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Human Oversight Design Template</w:t>
      </w:r>
    </w:p>
    <w:p>
      <w:pPr>
        <w:jc w:val="center"/>
      </w:pPr>
      <w:r>
        <w:rPr>
          <w:i/>
          <w:color w:val="6B7785"/>
          <w:sz w:val="22"/>
        </w:rPr>
        <w:t>Operationalising Article 14, with the anti rubber stamp measures that decide whether oversight is a control or a formality</w:t>
      </w:r>
    </w:p>
    <w:p>
      <w:pPr>
        <w:jc w:val="center"/>
      </w:pPr>
      <w:r>
        <w:rPr>
          <w:color w:val="6B7785"/>
          <w:sz w:val="17"/>
        </w:rPr>
        <w:t>Companion toolkit, September 2026  //  Method: When Agents Rule, Chapter 12  //  EU AI Act Article 14</w:t>
      </w:r>
    </w:p>
    <w:p/>
    <w:tbl>
      <w:tblPr>
        <w:tblStyle w:val="TableGrid"/>
        <w:tblW w:type="auto" w:w="0"/>
        <w:tblLook w:firstColumn="1" w:firstRow="1" w:lastColumn="0" w:lastRow="0" w:noHBand="0" w:noVBand="1" w:val="04A0"/>
      </w:tblPr>
      <w:tblGrid>
        <w:gridCol w:w="9792"/>
      </w:tblGrid>
      <w:tr>
        <w:tc>
          <w:tcPr>
            <w:tcW w:type="dxa" w:w="9792"/>
            <w:shd w:val="clear" w:fill="FADBD8"/>
          </w:tcPr>
          <w:p>
            <w:r>
              <w:rPr>
                <w:b/>
                <w:color w:val="1A2A3A"/>
                <w:sz w:val="20"/>
              </w:rPr>
              <w:t>Why this template is mostly about degradation</w:t>
            </w:r>
          </w:p>
          <w:p>
            <w:r>
              <w:rPr>
                <w:sz w:val="20"/>
              </w:rPr>
              <w:t>Gartner's May 2026 research puts it plainly: human review is effective only if it remains a meaningful control, and without clear approval workflows, audit trails and agent specific incident response, approvals degrade under time pressure or approval fatigue, creating a false sense of safety while expanding the attack surface. An oversight control that has degraded does not fail safe. It reports green. Most of this template is therefore about detecting degradation rather than designing the checkpoint.</w:t>
            </w:r>
          </w:p>
        </w:tc>
      </w:tr>
    </w:tbl>
    <w:p/>
    <w:p>
      <w:pPr>
        <w:spacing w:before="320" w:after="120"/>
      </w:pPr>
      <w:r>
        <w:rPr>
          <w:b/>
          <w:color w:val="1A2A3A"/>
          <w:sz w:val="27"/>
        </w:rPr>
        <w:t>1. System and Oversight Summary</w:t>
      </w:r>
    </w:p>
    <w:p>
      <w:pPr>
        <w:spacing w:after="60"/>
      </w:pPr>
      <w:r>
        <w:rPr>
          <w:b/>
          <w:sz w:val="20"/>
        </w:rPr>
        <w:t xml:space="preserve">System name and identifier: </w:t>
      </w:r>
      <w:r>
        <w:rPr>
          <w:color w:val="6B7785"/>
          <w:sz w:val="20"/>
        </w:rPr>
        <w:t>[ to be completed ]</w:t>
      </w:r>
    </w:p>
    <w:p>
      <w:pPr>
        <w:spacing w:after="60"/>
      </w:pPr>
      <w:r>
        <w:rPr>
          <w:b/>
          <w:sz w:val="20"/>
        </w:rPr>
        <w:t xml:space="preserve">Autonomy level: </w:t>
      </w:r>
      <w:r>
        <w:rPr>
          <w:color w:val="6B7785"/>
          <w:sz w:val="20"/>
        </w:rPr>
        <w:t>[ to be completed ]</w:t>
      </w:r>
    </w:p>
    <w:p>
      <w:pPr>
        <w:spacing w:after="60"/>
      </w:pPr>
      <w:r>
        <w:rPr>
          <w:b/>
          <w:sz w:val="20"/>
        </w:rPr>
        <w:t xml:space="preserve">Consequence class: </w:t>
      </w:r>
      <w:r>
        <w:rPr>
          <w:color w:val="6B7785"/>
          <w:sz w:val="20"/>
        </w:rPr>
        <w:t>[ internal or external, limited or broad, and whether reversible ]</w:t>
      </w:r>
    </w:p>
    <w:p>
      <w:pPr>
        <w:spacing w:after="60"/>
      </w:pPr>
      <w:r>
        <w:rPr>
          <w:b/>
          <w:sz w:val="20"/>
        </w:rPr>
        <w:t xml:space="preserve">Named oversight owner and role: </w:t>
      </w:r>
      <w:r>
        <w:rPr>
          <w:color w:val="6B7785"/>
          <w:sz w:val="20"/>
        </w:rPr>
        <w:t>[ to be completed ]</w:t>
      </w:r>
    </w:p>
    <w:p>
      <w:pPr>
        <w:spacing w:after="60"/>
      </w:pPr>
      <w:r>
        <w:rPr>
          <w:b/>
          <w:sz w:val="20"/>
        </w:rPr>
        <w:t xml:space="preserve">Decision volume per month: </w:t>
      </w:r>
      <w:r>
        <w:rPr>
          <w:color w:val="6B7785"/>
          <w:sz w:val="20"/>
        </w:rPr>
        <w:t>[ to be completed ]</w:t>
      </w:r>
    </w:p>
    <w:p>
      <w:pPr>
        <w:spacing w:after="60"/>
      </w:pPr>
      <w:r>
        <w:rPr>
          <w:b/>
          <w:sz w:val="20"/>
        </w:rPr>
        <w:t xml:space="preserve">Date designed: </w:t>
      </w:r>
      <w:r>
        <w:rPr>
          <w:color w:val="6B7785"/>
          <w:sz w:val="20"/>
        </w:rPr>
        <w:t>[ to be completed ]</w:t>
      </w:r>
    </w:p>
    <w:p>
      <w:pPr>
        <w:spacing w:after="60"/>
      </w:pPr>
      <w:r>
        <w:rPr>
          <w:b/>
          <w:sz w:val="20"/>
        </w:rPr>
        <w:t xml:space="preserve">Date last tested for degradation: </w:t>
      </w:r>
      <w:r>
        <w:rPr>
          <w:color w:val="6B7785"/>
          <w:sz w:val="20"/>
        </w:rPr>
        <w:t>[ to be completed ]</w:t>
      </w:r>
    </w:p>
    <w:p>
      <w:pPr>
        <w:spacing w:before="320" w:after="120"/>
      </w:pPr>
      <w:r>
        <w:rPr>
          <w:b/>
          <w:color w:val="1A2A3A"/>
          <w:sz w:val="27"/>
        </w:rPr>
        <w:t>2. Choose the Checkpoint Pattern</w:t>
      </w:r>
    </w:p>
    <w:p>
      <w:r>
        <w:rPr>
          <w:i w:val="0"/>
          <w:sz w:val="21"/>
        </w:rPr>
        <w:t>Four patterns. The choice follows from consequence and reversibility, not from how much comfort the pattern provides. Over restriction of simple agents slows delivery and drives shadow development; under restriction of autonomous agents means actions nobody realised were permitted. Both are failures.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016"/>
            <w:shd w:val="clear" w:fill="1A2A3A"/>
          </w:tcPr>
          <w:p>
            <w:r>
              <w:rPr>
                <w:b/>
                <w:color w:val="FFFFFF"/>
                <w:sz w:val="17"/>
              </w:rPr>
              <w:t>Pattern</w:t>
            </w:r>
          </w:p>
        </w:tc>
        <w:tc>
          <w:tcPr>
            <w:tcW w:type="dxa" w:w="2880"/>
            <w:shd w:val="clear" w:fill="1A2A3A"/>
          </w:tcPr>
          <w:p>
            <w:r>
              <w:rPr>
                <w:b/>
                <w:color w:val="FFFFFF"/>
                <w:sz w:val="17"/>
              </w:rPr>
              <w:t>Use when</w:t>
            </w:r>
          </w:p>
        </w:tc>
        <w:tc>
          <w:tcPr>
            <w:tcW w:type="dxa" w:w="2736"/>
            <w:shd w:val="clear" w:fill="1A2A3A"/>
          </w:tcPr>
          <w:p>
            <w:r>
              <w:rPr>
                <w:b/>
                <w:color w:val="FFFFFF"/>
                <w:sz w:val="17"/>
              </w:rPr>
              <w:t>What it costs</w:t>
            </w:r>
          </w:p>
        </w:tc>
        <w:tc>
          <w:tcPr>
            <w:tcW w:type="dxa" w:w="3024"/>
            <w:shd w:val="clear" w:fill="1A2A3A"/>
          </w:tcPr>
          <w:p>
            <w:r>
              <w:rPr>
                <w:b/>
                <w:color w:val="FFFFFF"/>
                <w:sz w:val="17"/>
              </w:rPr>
              <w:t>Failure mode to watch</w:t>
            </w:r>
          </w:p>
        </w:tc>
      </w:tr>
      <w:tr>
        <w:tc>
          <w:tcPr>
            <w:tcW w:type="dxa" w:w="2016"/>
          </w:tcPr>
          <w:p>
            <w:r>
              <w:rPr>
                <w:sz w:val="18"/>
              </w:rPr>
              <w:t>Pre action approval</w:t>
            </w:r>
          </w:p>
        </w:tc>
        <w:tc>
          <w:tcPr>
            <w:tcW w:type="dxa" w:w="2880"/>
          </w:tcPr>
          <w:p>
            <w:r>
              <w:rPr>
                <w:sz w:val="18"/>
              </w:rPr>
              <w:t>The action is irreversible and externally facing</w:t>
            </w:r>
          </w:p>
        </w:tc>
        <w:tc>
          <w:tcPr>
            <w:tcW w:type="dxa" w:w="2736"/>
          </w:tcPr>
          <w:p>
            <w:r>
              <w:rPr>
                <w:sz w:val="18"/>
              </w:rPr>
              <w:t>Latency on every decision, and it does not scale past a few hundred a month</w:t>
            </w:r>
          </w:p>
        </w:tc>
        <w:tc>
          <w:tcPr>
            <w:tcW w:type="dxa" w:w="3024"/>
          </w:tcPr>
          <w:p>
            <w:r>
              <w:rPr>
                <w:sz w:val="18"/>
              </w:rPr>
              <w:t>Approval by reflex. The reviewer becomes a button</w:t>
            </w:r>
          </w:p>
        </w:tc>
      </w:tr>
      <w:tr>
        <w:tc>
          <w:tcPr>
            <w:tcW w:type="dxa" w:w="2016"/>
          </w:tcPr>
          <w:p>
            <w:r>
              <w:rPr>
                <w:sz w:val="18"/>
              </w:rPr>
              <w:t>Post action sampling</w:t>
            </w:r>
          </w:p>
        </w:tc>
        <w:tc>
          <w:tcPr>
            <w:tcW w:type="dxa" w:w="2880"/>
          </w:tcPr>
          <w:p>
            <w:r>
              <w:rPr>
                <w:sz w:val="18"/>
              </w:rPr>
              <w:t>The action is reversible and volume is high</w:t>
            </w:r>
          </w:p>
        </w:tc>
        <w:tc>
          <w:tcPr>
            <w:tcW w:type="dxa" w:w="2736"/>
          </w:tcPr>
          <w:p>
            <w:r>
              <w:rPr>
                <w:sz w:val="18"/>
              </w:rPr>
              <w:t>Some harm occurs before review</w:t>
            </w:r>
          </w:p>
        </w:tc>
        <w:tc>
          <w:tcPr>
            <w:tcW w:type="dxa" w:w="3024"/>
          </w:tcPr>
          <w:p>
            <w:r>
              <w:rPr>
                <w:sz w:val="18"/>
              </w:rPr>
              <w:t>A sample rate nobody meets, which is worse than none</w:t>
            </w:r>
          </w:p>
        </w:tc>
      </w:tr>
      <w:tr>
        <w:tc>
          <w:tcPr>
            <w:tcW w:type="dxa" w:w="2016"/>
          </w:tcPr>
          <w:p>
            <w:r>
              <w:rPr>
                <w:sz w:val="18"/>
              </w:rPr>
              <w:t>Exception only review</w:t>
            </w:r>
          </w:p>
        </w:tc>
        <w:tc>
          <w:tcPr>
            <w:tcW w:type="dxa" w:w="2880"/>
          </w:tcPr>
          <w:p>
            <w:r>
              <w:rPr>
                <w:sz w:val="18"/>
              </w:rPr>
              <w:t>The agent can reliably identify its own uncertainty</w:t>
            </w:r>
          </w:p>
        </w:tc>
        <w:tc>
          <w:tcPr>
            <w:tcW w:type="dxa" w:w="2736"/>
          </w:tcPr>
          <w:p>
            <w:r>
              <w:rPr>
                <w:sz w:val="18"/>
              </w:rPr>
              <w:t>You are trusting the agent's self assessment</w:t>
            </w:r>
          </w:p>
        </w:tc>
        <w:tc>
          <w:tcPr>
            <w:tcW w:type="dxa" w:w="3024"/>
          </w:tcPr>
          <w:p>
            <w:r>
              <w:rPr>
                <w:sz w:val="18"/>
              </w:rPr>
              <w:t>The agent stops flagging exceptions and nobody notices</w:t>
            </w:r>
          </w:p>
        </w:tc>
      </w:tr>
      <w:tr>
        <w:tc>
          <w:tcPr>
            <w:tcW w:type="dxa" w:w="2016"/>
          </w:tcPr>
          <w:p>
            <w:r>
              <w:rPr>
                <w:sz w:val="18"/>
              </w:rPr>
              <w:t>Dual control</w:t>
            </w:r>
          </w:p>
        </w:tc>
        <w:tc>
          <w:tcPr>
            <w:tcW w:type="dxa" w:w="2880"/>
          </w:tcPr>
          <w:p>
            <w:r>
              <w:rPr>
                <w:sz w:val="18"/>
              </w:rPr>
              <w:t>The action is high value and irreversible</w:t>
            </w:r>
          </w:p>
        </w:tc>
        <w:tc>
          <w:tcPr>
            <w:tcW w:type="dxa" w:w="2736"/>
          </w:tcPr>
          <w:p>
            <w:r>
              <w:rPr>
                <w:sz w:val="18"/>
              </w:rPr>
              <w:t>Two people per decision</w:t>
            </w:r>
          </w:p>
        </w:tc>
        <w:tc>
          <w:tcPr>
            <w:tcW w:type="dxa" w:w="3024"/>
          </w:tcPr>
          <w:p>
            <w:r>
              <w:rPr>
                <w:sz w:val="18"/>
              </w:rPr>
              <w:t>Both reviewers defer to each other</w:t>
            </w:r>
          </w:p>
        </w:tc>
      </w:tr>
    </w:tbl>
    <w:p/>
    <w:p>
      <w:pPr>
        <w:spacing w:after="60"/>
      </w:pPr>
      <w:r>
        <w:rPr>
          <w:b/>
          <w:sz w:val="20"/>
        </w:rPr>
        <w:t xml:space="preserve">Pattern selected and why: </w:t>
      </w:r>
      <w:r>
        <w:rPr>
          <w:color w:val="6B7785"/>
          <w:sz w:val="20"/>
        </w:rPr>
        <w:t>[ to be completed ]</w:t>
      </w:r>
    </w:p>
    <w:p>
      <w:pPr>
        <w:spacing w:after="60"/>
      </w:pPr>
      <w:r>
        <w:rPr>
          <w:b/>
          <w:sz w:val="20"/>
        </w:rPr>
        <w:t xml:space="preserve">Sample rate, if sampling: </w:t>
      </w:r>
      <w:r>
        <w:rPr>
          <w:color w:val="6B7785"/>
          <w:sz w:val="20"/>
        </w:rPr>
        <w:t>[ state the rate and who will actually do the sampling ]</w:t>
      </w:r>
    </w:p>
    <w:p>
      <w:pPr>
        <w:spacing w:before="320" w:after="120"/>
      </w:pPr>
      <w:r>
        <w:rPr>
          <w:b/>
          <w:color w:val="1A2A3A"/>
          <w:sz w:val="27"/>
        </w:rPr>
        <w:t>3. The Reviewer Must Be Able To Act</w:t>
      </w:r>
    </w:p>
    <w:p>
      <w:r>
        <w:rPr>
          <w:i w:val="0"/>
          <w:sz w:val="21"/>
        </w:rPr>
        <w:t>Article 14 requires that the person overseeing can intervene or interrupt. That is a design requirement, not a training requirement, and it fails in four specific ways. Confirm each one.</w:t>
      </w:r>
    </w:p>
    <w:tbl>
      <w:tblPr>
        <w:tblStyle w:val="TableGrid"/>
        <w:tblW w:type="auto" w:w="0"/>
        <w:jc w:val="center"/>
        <w:tblLook w:firstColumn="1" w:firstRow="1" w:lastColumn="0" w:lastRow="0" w:noHBand="0" w:noVBand="1" w:val="04A0"/>
      </w:tblPr>
      <w:tblGrid>
        <w:gridCol w:w="3264"/>
        <w:gridCol w:w="3264"/>
        <w:gridCol w:w="3264"/>
      </w:tblGrid>
      <w:tr>
        <w:tc>
          <w:tcPr>
            <w:tcW w:type="dxa" w:w="2880"/>
            <w:shd w:val="clear" w:fill="1A2A3A"/>
          </w:tcPr>
          <w:p>
            <w:r>
              <w:rPr>
                <w:b/>
                <w:color w:val="FFFFFF"/>
                <w:sz w:val="17"/>
              </w:rPr>
              <w:t>Requirement</w:t>
            </w:r>
          </w:p>
        </w:tc>
        <w:tc>
          <w:tcPr>
            <w:tcW w:type="dxa" w:w="5040"/>
            <w:shd w:val="clear" w:fill="1A2A3A"/>
          </w:tcPr>
          <w:p>
            <w:r>
              <w:rPr>
                <w:b/>
                <w:color w:val="FFFFFF"/>
                <w:sz w:val="17"/>
              </w:rPr>
              <w:t>Test</w:t>
            </w:r>
          </w:p>
        </w:tc>
        <w:tc>
          <w:tcPr>
            <w:tcW w:type="dxa" w:w="1440"/>
            <w:shd w:val="clear" w:fill="1A2A3A"/>
          </w:tcPr>
          <w:p>
            <w:r>
              <w:rPr>
                <w:b/>
                <w:color w:val="FFFFFF"/>
                <w:sz w:val="17"/>
              </w:rPr>
              <w:t>Confirmed</w:t>
            </w:r>
          </w:p>
        </w:tc>
      </w:tr>
      <w:tr>
        <w:tc>
          <w:tcPr>
            <w:tcW w:type="dxa" w:w="2880"/>
          </w:tcPr>
          <w:p>
            <w:r>
              <w:rPr>
                <w:sz w:val="18"/>
              </w:rPr>
              <w:t>The reviewer can see what the agent relied on</w:t>
            </w:r>
          </w:p>
        </w:tc>
        <w:tc>
          <w:tcPr>
            <w:tcW w:type="dxa" w:w="5040"/>
          </w:tcPr>
          <w:p>
            <w:r>
              <w:rPr>
                <w:sz w:val="18"/>
              </w:rPr>
              <w:t>Show the reviewer a real decision and ask what inputs and retrieved context produced it. If they cannot say, the interface is the control failure</w:t>
            </w:r>
          </w:p>
        </w:tc>
        <w:tc>
          <w:tcPr>
            <w:tcW w:type="dxa" w:w="1440"/>
          </w:tcPr>
          <w:p>
            <w:r>
              <w:rPr>
                <w:sz w:val="18"/>
              </w:rPr>
            </w:r>
          </w:p>
        </w:tc>
      </w:tr>
      <w:tr>
        <w:tc>
          <w:tcPr>
            <w:tcW w:type="dxa" w:w="2880"/>
          </w:tcPr>
          <w:p>
            <w:r>
              <w:rPr>
                <w:sz w:val="18"/>
              </w:rPr>
              <w:t>The reviewer can reject without cost to themselves</w:t>
            </w:r>
          </w:p>
        </w:tc>
        <w:tc>
          <w:tcPr>
            <w:tcW w:type="dxa" w:w="5040"/>
          </w:tcPr>
          <w:p>
            <w:r>
              <w:rPr>
                <w:sz w:val="18"/>
              </w:rPr>
              <w:t>Check whether rejecting slows a queue the reviewer is measured on. If it does, rejection has a personal price and will decline over time</w:t>
            </w:r>
          </w:p>
        </w:tc>
        <w:tc>
          <w:tcPr>
            <w:tcW w:type="dxa" w:w="1440"/>
          </w:tcPr>
          <w:p>
            <w:r>
              <w:rPr>
                <w:sz w:val="18"/>
              </w:rPr>
            </w:r>
          </w:p>
        </w:tc>
      </w:tr>
      <w:tr>
        <w:tc>
          <w:tcPr>
            <w:tcW w:type="dxa" w:w="2880"/>
          </w:tcPr>
          <w:p>
            <w:r>
              <w:rPr>
                <w:sz w:val="18"/>
              </w:rPr>
              <w:t>The reviewer has time to review</w:t>
            </w:r>
          </w:p>
        </w:tc>
        <w:tc>
          <w:tcPr>
            <w:tcW w:type="dxa" w:w="5040"/>
          </w:tcPr>
          <w:p>
            <w:r>
              <w:rPr>
                <w:sz w:val="18"/>
              </w:rPr>
              <w:t>Divide decisions per month by reviewer hours available. State the seconds per decision. If it is under thirty, you have a formality</w:t>
            </w:r>
          </w:p>
        </w:tc>
        <w:tc>
          <w:tcPr>
            <w:tcW w:type="dxa" w:w="1440"/>
          </w:tcPr>
          <w:p>
            <w:r>
              <w:rPr>
                <w:sz w:val="18"/>
              </w:rPr>
            </w:r>
          </w:p>
        </w:tc>
      </w:tr>
      <w:tr>
        <w:tc>
          <w:tcPr>
            <w:tcW w:type="dxa" w:w="2880"/>
          </w:tcPr>
          <w:p>
            <w:r>
              <w:rPr>
                <w:sz w:val="18"/>
              </w:rPr>
              <w:t>The reviewer can stop the agent, not just the decision</w:t>
            </w:r>
          </w:p>
        </w:tc>
        <w:tc>
          <w:tcPr>
            <w:tcW w:type="dxa" w:w="5040"/>
          </w:tcPr>
          <w:p>
            <w:r>
              <w:rPr>
                <w:sz w:val="18"/>
              </w:rPr>
              <w:t>Confirm the reviewer has access to the containment path, or that someone reachable within minutes does</w:t>
            </w:r>
          </w:p>
        </w:tc>
        <w:tc>
          <w:tcPr>
            <w:tcW w:type="dxa" w:w="1440"/>
          </w:tcPr>
          <w:p>
            <w:r>
              <w:rPr>
                <w:sz w:val="18"/>
              </w:rPr>
            </w:r>
          </w:p>
        </w:tc>
      </w:tr>
    </w:tbl>
    <w:p/>
    <w:p>
      <w:pPr>
        <w:spacing w:before="320" w:after="120"/>
      </w:pPr>
      <w:r>
        <w:rPr>
          <w:b/>
          <w:color w:val="1A2A3A"/>
          <w:sz w:val="27"/>
        </w:rPr>
        <w:t>4. Anti Rubber Stamp Measures</w:t>
      </w:r>
    </w:p>
    <w:p>
      <w:r>
        <w:rPr>
          <w:i w:val="0"/>
          <w:sz w:val="21"/>
        </w:rPr>
        <w:t>These are the measures that detect approval by reflex. Each one produces a number you can put in front of a governance council. Without at least three of them in place, you cannot claim oversight is operating; you can only claim it is designed.</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304"/>
            <w:shd w:val="clear" w:fill="1A2A3A"/>
          </w:tcPr>
          <w:p>
            <w:r>
              <w:rPr>
                <w:b/>
                <w:color w:val="FFFFFF"/>
                <w:sz w:val="17"/>
              </w:rPr>
              <w:t>Measure</w:t>
            </w:r>
          </w:p>
        </w:tc>
        <w:tc>
          <w:tcPr>
            <w:tcW w:type="dxa" w:w="2736"/>
            <w:shd w:val="clear" w:fill="1A2A3A"/>
          </w:tcPr>
          <w:p>
            <w:r>
              <w:rPr>
                <w:b/>
                <w:color w:val="FFFFFF"/>
                <w:sz w:val="17"/>
              </w:rPr>
              <w:t>What it detects</w:t>
            </w:r>
          </w:p>
        </w:tc>
        <w:tc>
          <w:tcPr>
            <w:tcW w:type="dxa" w:w="3744"/>
            <w:shd w:val="clear" w:fill="1A2A3A"/>
          </w:tcPr>
          <w:p>
            <w:r>
              <w:rPr>
                <w:b/>
                <w:color w:val="FFFFFF"/>
                <w:sz w:val="17"/>
              </w:rPr>
              <w:t>How to implement</w:t>
            </w:r>
          </w:p>
        </w:tc>
        <w:tc>
          <w:tcPr>
            <w:tcW w:type="dxa" w:w="1152"/>
            <w:shd w:val="clear" w:fill="1A2A3A"/>
          </w:tcPr>
          <w:p>
            <w:r>
              <w:rPr>
                <w:b/>
                <w:color w:val="FFFFFF"/>
                <w:sz w:val="17"/>
              </w:rPr>
              <w:t>In place</w:t>
            </w:r>
          </w:p>
        </w:tc>
      </w:tr>
      <w:tr>
        <w:tc>
          <w:tcPr>
            <w:tcW w:type="dxa" w:w="2304"/>
          </w:tcPr>
          <w:p>
            <w:r>
              <w:rPr>
                <w:sz w:val="18"/>
              </w:rPr>
              <w:t>Approval latency distribution</w:t>
            </w:r>
          </w:p>
        </w:tc>
        <w:tc>
          <w:tcPr>
            <w:tcW w:type="dxa" w:w="2736"/>
          </w:tcPr>
          <w:p>
            <w:r>
              <w:rPr>
                <w:sz w:val="18"/>
              </w:rPr>
              <w:t>Reviewers approving faster than it is possible to read the decision</w:t>
            </w:r>
          </w:p>
        </w:tc>
        <w:tc>
          <w:tcPr>
            <w:tcW w:type="dxa" w:w="3744"/>
          </w:tcPr>
          <w:p>
            <w:r>
              <w:rPr>
                <w:sz w:val="18"/>
              </w:rPr>
              <w:t>Log time from presentation to decision. Investigate the bottom decile</w:t>
            </w:r>
          </w:p>
        </w:tc>
        <w:tc>
          <w:tcPr>
            <w:tcW w:type="dxa" w:w="1152"/>
          </w:tcPr>
          <w:p>
            <w:r>
              <w:rPr>
                <w:sz w:val="18"/>
              </w:rPr>
            </w:r>
          </w:p>
        </w:tc>
      </w:tr>
      <w:tr>
        <w:tc>
          <w:tcPr>
            <w:tcW w:type="dxa" w:w="2304"/>
          </w:tcPr>
          <w:p>
            <w:r>
              <w:rPr>
                <w:sz w:val="18"/>
              </w:rPr>
              <w:t>Rejection rate floor</w:t>
            </w:r>
          </w:p>
        </w:tc>
        <w:tc>
          <w:tcPr>
            <w:tcW w:type="dxa" w:w="2736"/>
          </w:tcPr>
          <w:p>
            <w:r>
              <w:rPr>
                <w:sz w:val="18"/>
              </w:rPr>
              <w:t>A reviewer who never rejects anything</w:t>
            </w:r>
          </w:p>
        </w:tc>
        <w:tc>
          <w:tcPr>
            <w:tcW w:type="dxa" w:w="3744"/>
          </w:tcPr>
          <w:p>
            <w:r>
              <w:rPr>
                <w:sz w:val="18"/>
              </w:rPr>
              <w:t>Track rejection rate per reviewer. A sustained zero is a finding, not a compliment</w:t>
            </w:r>
          </w:p>
        </w:tc>
        <w:tc>
          <w:tcPr>
            <w:tcW w:type="dxa" w:w="1152"/>
          </w:tcPr>
          <w:p>
            <w:r>
              <w:rPr>
                <w:sz w:val="18"/>
              </w:rPr>
            </w:r>
          </w:p>
        </w:tc>
      </w:tr>
      <w:tr>
        <w:tc>
          <w:tcPr>
            <w:tcW w:type="dxa" w:w="2304"/>
          </w:tcPr>
          <w:p>
            <w:r>
              <w:rPr>
                <w:sz w:val="18"/>
              </w:rPr>
              <w:t>Seeded disagreements</w:t>
            </w:r>
          </w:p>
        </w:tc>
        <w:tc>
          <w:tcPr>
            <w:tcW w:type="dxa" w:w="2736"/>
          </w:tcPr>
          <w:p>
            <w:r>
              <w:rPr>
                <w:sz w:val="18"/>
              </w:rPr>
              <w:t>Whether reviewers are actually reading</w:t>
            </w:r>
          </w:p>
        </w:tc>
        <w:tc>
          <w:tcPr>
            <w:tcW w:type="dxa" w:w="3744"/>
          </w:tcPr>
          <w:p>
            <w:r>
              <w:rPr>
                <w:sz w:val="18"/>
              </w:rPr>
              <w:t>Periodically insert a decision that should be rejected. Record who caught it. Announce the practice in advance, not the instances</w:t>
            </w:r>
          </w:p>
        </w:tc>
        <w:tc>
          <w:tcPr>
            <w:tcW w:type="dxa" w:w="1152"/>
          </w:tcPr>
          <w:p>
            <w:r>
              <w:rPr>
                <w:sz w:val="18"/>
              </w:rPr>
            </w:r>
          </w:p>
        </w:tc>
      </w:tr>
      <w:tr>
        <w:tc>
          <w:tcPr>
            <w:tcW w:type="dxa" w:w="2304"/>
          </w:tcPr>
          <w:p>
            <w:r>
              <w:rPr>
                <w:sz w:val="18"/>
              </w:rPr>
              <w:t>Reviewer identity per decision</w:t>
            </w:r>
          </w:p>
        </w:tc>
        <w:tc>
          <w:tcPr>
            <w:tcW w:type="dxa" w:w="2736"/>
          </w:tcPr>
          <w:p>
            <w:r>
              <w:rPr>
                <w:sz w:val="18"/>
              </w:rPr>
              <w:t>Aggregate approval hiding one person approving everything</w:t>
            </w:r>
          </w:p>
        </w:tc>
        <w:tc>
          <w:tcPr>
            <w:tcW w:type="dxa" w:w="3744"/>
          </w:tcPr>
          <w:p>
            <w:r>
              <w:rPr>
                <w:sz w:val="18"/>
              </w:rPr>
              <w:t>Record reviewer identity on every decision, not just that review occurred</w:t>
            </w:r>
          </w:p>
        </w:tc>
        <w:tc>
          <w:tcPr>
            <w:tcW w:type="dxa" w:w="1152"/>
          </w:tcPr>
          <w:p>
            <w:r>
              <w:rPr>
                <w:sz w:val="18"/>
              </w:rPr>
            </w:r>
          </w:p>
        </w:tc>
      </w:tr>
      <w:tr>
        <w:tc>
          <w:tcPr>
            <w:tcW w:type="dxa" w:w="2304"/>
          </w:tcPr>
          <w:p>
            <w:r>
              <w:rPr>
                <w:sz w:val="18"/>
              </w:rPr>
              <w:t>Escalation rate by reviewer</w:t>
            </w:r>
          </w:p>
        </w:tc>
        <w:tc>
          <w:tcPr>
            <w:tcW w:type="dxa" w:w="2736"/>
          </w:tcPr>
          <w:p>
            <w:r>
              <w:rPr>
                <w:sz w:val="18"/>
              </w:rPr>
              <w:t>Reviewers who approve what they should escalate</w:t>
            </w:r>
          </w:p>
        </w:tc>
        <w:tc>
          <w:tcPr>
            <w:tcW w:type="dxa" w:w="3744"/>
          </w:tcPr>
          <w:p>
            <w:r>
              <w:rPr>
                <w:sz w:val="18"/>
              </w:rPr>
              <w:t>Compare escalation rates across reviewers on similar decisions</w:t>
            </w:r>
          </w:p>
        </w:tc>
        <w:tc>
          <w:tcPr>
            <w:tcW w:type="dxa" w:w="1152"/>
          </w:tcPr>
          <w:p>
            <w:r>
              <w:rPr>
                <w:sz w:val="18"/>
              </w:rPr>
            </w:r>
          </w:p>
        </w:tc>
      </w:tr>
      <w:tr>
        <w:tc>
          <w:tcPr>
            <w:tcW w:type="dxa" w:w="2304"/>
          </w:tcPr>
          <w:p>
            <w:r>
              <w:rPr>
                <w:sz w:val="18"/>
              </w:rPr>
              <w:t>Fatigue window analysis</w:t>
            </w:r>
          </w:p>
        </w:tc>
        <w:tc>
          <w:tcPr>
            <w:tcW w:type="dxa" w:w="2736"/>
          </w:tcPr>
          <w:p>
            <w:r>
              <w:rPr>
                <w:sz w:val="18"/>
              </w:rPr>
              <w:t>Approval quality falling at end of shift or end of quarter</w:t>
            </w:r>
          </w:p>
        </w:tc>
        <w:tc>
          <w:tcPr>
            <w:tcW w:type="dxa" w:w="3744"/>
          </w:tcPr>
          <w:p>
            <w:r>
              <w:rPr>
                <w:sz w:val="18"/>
              </w:rPr>
              <w:t>Segment approval latency and rejection rate by time of day and by period end</w:t>
            </w:r>
          </w:p>
        </w:tc>
        <w:tc>
          <w:tcPr>
            <w:tcW w:type="dxa" w:w="1152"/>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EEF2F7"/>
          </w:tcPr>
          <w:p>
            <w:r>
              <w:rPr>
                <w:b/>
                <w:color w:val="1A2A3A"/>
                <w:sz w:val="20"/>
              </w:rPr>
              <w:t>On seeded disagreements</w:t>
            </w:r>
          </w:p>
          <w:p>
            <w:r>
              <w:rPr>
                <w:sz w:val="20"/>
              </w:rPr>
              <w:t>Announce the practice, never the instances. A reviewer who knows tests occur reads more carefully; a reviewer who knows which decision is a test learns nothing. Record the policy in advance and have it approved, because a test nobody sanctioned becomes an employee relations problem rather than a control.</w:t>
            </w:r>
          </w:p>
        </w:tc>
      </w:tr>
    </w:tbl>
    <w:p/>
    <w:p>
      <w:pPr>
        <w:spacing w:before="320" w:after="120"/>
      </w:pPr>
      <w:r>
        <w:rPr>
          <w:b/>
          <w:color w:val="1A2A3A"/>
          <w:sz w:val="27"/>
        </w:rPr>
        <w:t>5. Degradation Review</w:t>
      </w:r>
    </w:p>
    <w:p>
      <w:r>
        <w:rPr>
          <w:i w:val="0"/>
          <w:sz w:val="21"/>
        </w:rPr>
        <w:t>Run this quarterly. It is short on purpose. The question is not whether oversight exists but whether it still works.</w:t>
      </w:r>
    </w:p>
    <w:p>
      <w:pPr>
        <w:pStyle w:val="ListNumber"/>
        <w:spacing w:after="60"/>
      </w:pPr>
      <w:r>
        <w:rPr>
          <w:sz w:val="21"/>
        </w:rPr>
        <w:t>What was the median approval latency this quarter, and the previous quarter? A falling median with rising volume is degradation.</w:t>
      </w:r>
    </w:p>
    <w:p>
      <w:pPr>
        <w:pStyle w:val="ListNumber"/>
        <w:spacing w:after="60"/>
      </w:pPr>
      <w:r>
        <w:rPr>
          <w:sz w:val="21"/>
        </w:rPr>
        <w:t>What was the rejection rate per reviewer? Name any reviewer at or near zero.</w:t>
      </w:r>
    </w:p>
    <w:p>
      <w:pPr>
        <w:pStyle w:val="ListNumber"/>
        <w:spacing w:after="60"/>
      </w:pPr>
      <w:r>
        <w:rPr>
          <w:sz w:val="21"/>
        </w:rPr>
        <w:t>How many seeded disagreements were inserted, and how many were caught?</w:t>
      </w:r>
    </w:p>
    <w:p>
      <w:pPr>
        <w:pStyle w:val="ListNumber"/>
        <w:spacing w:after="60"/>
      </w:pPr>
      <w:r>
        <w:rPr>
          <w:sz w:val="21"/>
        </w:rPr>
        <w:t>Was any burn rate threshold or escalation trigger crossed without the consequence following?</w:t>
      </w:r>
    </w:p>
    <w:p>
      <w:pPr>
        <w:pStyle w:val="ListNumber"/>
        <w:spacing w:after="60"/>
      </w:pPr>
      <w:r>
        <w:rPr>
          <w:sz w:val="21"/>
        </w:rPr>
        <w:t>Has decision volume grown faster than reviewer capacity? State the seconds per decision now against the design figure.</w:t>
      </w:r>
    </w:p>
    <w:p>
      <w:pPr>
        <w:pStyle w:val="ListNumber"/>
        <w:spacing w:after="60"/>
      </w:pPr>
      <w:r>
        <w:rPr>
          <w:sz w:val="21"/>
        </w:rPr>
        <w:t>On the evidence above, is this oversight a control or a formality? Record the answer and who gave it.</w:t>
      </w:r>
    </w:p>
    <w:p>
      <w:pPr>
        <w:spacing w:after="60"/>
      </w:pPr>
      <w:r>
        <w:rPr>
          <w:b/>
          <w:sz w:val="20"/>
        </w:rPr>
        <w:t xml:space="preserve">Quarterly conclusion and signature: </w:t>
      </w:r>
      <w:r>
        <w:rPr>
          <w:color w:val="6B7785"/>
          <w:sz w:val="20"/>
        </w:rPr>
        <w:t>[ to be completed ]</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Article 14 compliance is a legal assessment for qualified counsel; this template helps you produce the evidence, it does not determine the conclusion.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