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C9A227"/>
          <w:sz w:val="18"/>
        </w:rPr>
        <w:t>WHEN AGENTS RULE  //  COMPANION TOOLKIT</w:t>
      </w:r>
    </w:p>
    <w:p>
      <w:pPr>
        <w:jc w:val="center"/>
      </w:pPr>
      <w:r>
        <w:rPr>
          <w:b/>
          <w:color w:val="1A2A3A"/>
          <w:sz w:val="42"/>
        </w:rPr>
        <w:t>Quarterly Board AI Governance Report Template</w:t>
      </w:r>
    </w:p>
    <w:p>
      <w:pPr>
        <w:jc w:val="center"/>
      </w:pPr>
      <w:r>
        <w:rPr>
          <w:i/>
          <w:color w:val="6B7785"/>
          <w:sz w:val="22"/>
        </w:rPr>
        <w:t>Five sections a board can compare quarter on quarter, plus the board self assessment from Chapter 16</w:t>
      </w:r>
    </w:p>
    <w:p>
      <w:pPr>
        <w:jc w:val="center"/>
      </w:pPr>
      <w:r>
        <w:rPr>
          <w:color w:val="6B7785"/>
          <w:sz w:val="17"/>
        </w:rPr>
        <w:t>Companion toolkit, September 2026  //  Method: When Agents Rule, Chapter 16</w:t>
      </w:r>
    </w:p>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The design rule</w:t>
            </w:r>
          </w:p>
          <w:p>
            <w:r>
              <w:rPr>
                <w:sz w:val="20"/>
              </w:rPr>
              <w:t>The same five measures, in the same order, every quarter. A board cannot govern what it cannot compare, and the most common failure in AI reporting is a deck that changes its metrics each time performance changes. If a measure needs to be retired, retire it in a minuted decision and say why, rather than quietly replacing it.</w:t>
            </w:r>
          </w:p>
        </w:tc>
      </w:tr>
    </w:tbl>
    <w:p/>
    <w:p>
      <w:pPr>
        <w:spacing w:after="60"/>
      </w:pPr>
      <w:r>
        <w:rPr>
          <w:b/>
          <w:sz w:val="20"/>
        </w:rPr>
        <w:t xml:space="preserve">Reporting period: </w:t>
      </w:r>
      <w:r>
        <w:rPr>
          <w:color w:val="6B7785"/>
          <w:sz w:val="20"/>
        </w:rPr>
        <w:t>[ to be completed ]</w:t>
      </w:r>
    </w:p>
    <w:p>
      <w:pPr>
        <w:spacing w:after="60"/>
      </w:pPr>
      <w:r>
        <w:rPr>
          <w:b/>
          <w:sz w:val="20"/>
        </w:rPr>
        <w:t xml:space="preserve">Prepared by, name and role: </w:t>
      </w:r>
      <w:r>
        <w:rPr>
          <w:color w:val="6B7785"/>
          <w:sz w:val="20"/>
        </w:rPr>
        <w:t>[ to be completed ]</w:t>
      </w:r>
    </w:p>
    <w:p>
      <w:pPr>
        <w:spacing w:after="60"/>
      </w:pPr>
      <w:r>
        <w:rPr>
          <w:b/>
          <w:sz w:val="20"/>
        </w:rPr>
        <w:t xml:space="preserve">Reviewed by, name and role: </w:t>
      </w:r>
      <w:r>
        <w:rPr>
          <w:color w:val="6B7785"/>
          <w:sz w:val="20"/>
        </w:rPr>
        <w:t>[ to be completed ]</w:t>
      </w:r>
    </w:p>
    <w:p>
      <w:pPr>
        <w:spacing w:after="60"/>
      </w:pPr>
      <w:r>
        <w:rPr>
          <w:b/>
          <w:sz w:val="20"/>
        </w:rPr>
        <w:t xml:space="preserve">Date circulated: </w:t>
      </w:r>
      <w:r>
        <w:rPr>
          <w:color w:val="6B7785"/>
          <w:sz w:val="20"/>
        </w:rPr>
        <w:t>[ to be completed ]</w:t>
      </w:r>
    </w:p>
    <w:p>
      <w:pPr>
        <w:spacing w:after="60"/>
      </w:pPr>
      <w:r>
        <w:rPr>
          <w:b/>
          <w:sz w:val="20"/>
        </w:rPr>
        <w:t xml:space="preserve">Previous period this is compared against: </w:t>
      </w:r>
      <w:r>
        <w:rPr>
          <w:color w:val="6B7785"/>
          <w:sz w:val="20"/>
        </w:rPr>
        <w:t>[ to be completed ]</w:t>
      </w:r>
    </w:p>
    <w:p>
      <w:pPr>
        <w:spacing w:before="320" w:after="120"/>
      </w:pPr>
      <w:r>
        <w:rPr>
          <w:b/>
          <w:color w:val="1A2A3A"/>
          <w:sz w:val="27"/>
        </w:rPr>
        <w:t>Section 1. Position and Direction</w:t>
      </w:r>
    </w:p>
    <w:p>
      <w:r>
        <w:rPr>
          <w:i w:val="0"/>
          <w:sz w:val="21"/>
        </w:rPr>
        <w:t>One page. The level and the direction, because a board acts on direction. Complete every cell, including the ones that got worse.</w:t>
      </w:r>
    </w:p>
    <w:tbl>
      <w:tblPr>
        <w:tblStyle w:val="TableGrid"/>
        <w:tblW w:type="auto" w:w="0"/>
        <w:jc w:val="center"/>
        <w:tblLook w:firstColumn="1" w:firstRow="1" w:lastColumn="0" w:lastRow="0" w:noHBand="0" w:noVBand="1" w:val="04A0"/>
      </w:tblPr>
      <w:tblGrid>
        <w:gridCol w:w="1958"/>
        <w:gridCol w:w="1958"/>
        <w:gridCol w:w="1958"/>
        <w:gridCol w:w="1958"/>
        <w:gridCol w:w="1958"/>
      </w:tblGrid>
      <w:tr>
        <w:tc>
          <w:tcPr>
            <w:tcW w:type="dxa" w:w="3600"/>
            <w:shd w:val="clear" w:fill="1A2A3A"/>
          </w:tcPr>
          <w:p>
            <w:r>
              <w:rPr>
                <w:b/>
                <w:color w:val="FFFFFF"/>
                <w:sz w:val="17"/>
              </w:rPr>
              <w:t>Measure</w:t>
            </w:r>
          </w:p>
        </w:tc>
        <w:tc>
          <w:tcPr>
            <w:tcW w:type="dxa" w:w="1440"/>
            <w:shd w:val="clear" w:fill="1A2A3A"/>
          </w:tcPr>
          <w:p>
            <w:r>
              <w:rPr>
                <w:b/>
                <w:color w:val="FFFFFF"/>
                <w:sz w:val="17"/>
              </w:rPr>
              <w:t>This quarter</w:t>
            </w:r>
          </w:p>
        </w:tc>
        <w:tc>
          <w:tcPr>
            <w:tcW w:type="dxa" w:w="1440"/>
            <w:shd w:val="clear" w:fill="1A2A3A"/>
          </w:tcPr>
          <w:p>
            <w:r>
              <w:rPr>
                <w:b/>
                <w:color w:val="FFFFFF"/>
                <w:sz w:val="17"/>
              </w:rPr>
              <w:t>Last quarter</w:t>
            </w:r>
          </w:p>
        </w:tc>
        <w:tc>
          <w:tcPr>
            <w:tcW w:type="dxa" w:w="1440"/>
            <w:shd w:val="clear" w:fill="1A2A3A"/>
          </w:tcPr>
          <w:p>
            <w:r>
              <w:rPr>
                <w:b/>
                <w:color w:val="FFFFFF"/>
                <w:sz w:val="17"/>
              </w:rPr>
              <w:t>Direction</w:t>
            </w:r>
          </w:p>
        </w:tc>
        <w:tc>
          <w:tcPr>
            <w:tcW w:type="dxa" w:w="2736"/>
            <w:shd w:val="clear" w:fill="1A2A3A"/>
          </w:tcPr>
          <w:p>
            <w:r>
              <w:rPr>
                <w:b/>
                <w:color w:val="FFFFFF"/>
                <w:sz w:val="17"/>
              </w:rPr>
              <w:t>Comment if it moved the wrong way</w:t>
            </w:r>
          </w:p>
        </w:tc>
      </w:tr>
      <w:tr>
        <w:tc>
          <w:tcPr>
            <w:tcW w:type="dxa" w:w="3600"/>
          </w:tcPr>
          <w:p>
            <w:r>
              <w:rPr>
                <w:sz w:val="18"/>
              </w:rPr>
              <w:t>Agents in production, by autonomy level</w:t>
            </w:r>
          </w:p>
        </w:tc>
        <w:tc>
          <w:tcPr>
            <w:tcW w:type="dxa" w:w="1440"/>
          </w:tcPr>
          <w:p>
            <w:r>
              <w:rPr>
                <w:sz w:val="18"/>
              </w:rPr>
            </w:r>
          </w:p>
        </w:tc>
        <w:tc>
          <w:tcPr>
            <w:tcW w:type="dxa" w:w="1440"/>
          </w:tcPr>
          <w:p>
            <w:r>
              <w:rPr>
                <w:sz w:val="18"/>
              </w:rPr>
            </w:r>
          </w:p>
        </w:tc>
        <w:tc>
          <w:tcPr>
            <w:tcW w:type="dxa" w:w="1440"/>
          </w:tcPr>
          <w:p>
            <w:r>
              <w:rPr>
                <w:sz w:val="18"/>
              </w:rPr>
            </w:r>
          </w:p>
        </w:tc>
        <w:tc>
          <w:tcPr>
            <w:tcW w:type="dxa" w:w="2736"/>
          </w:tcPr>
          <w:p>
            <w:r>
              <w:rPr>
                <w:sz w:val="18"/>
              </w:rPr>
            </w:r>
          </w:p>
        </w:tc>
      </w:tr>
      <w:tr>
        <w:tc>
          <w:tcPr>
            <w:tcW w:type="dxa" w:w="3600"/>
          </w:tcPr>
          <w:p>
            <w:r>
              <w:rPr>
                <w:sz w:val="18"/>
              </w:rPr>
              <w:t>Agents at L3 or above without their own identity</w:t>
            </w:r>
          </w:p>
        </w:tc>
        <w:tc>
          <w:tcPr>
            <w:tcW w:type="dxa" w:w="1440"/>
          </w:tcPr>
          <w:p>
            <w:r>
              <w:rPr>
                <w:sz w:val="18"/>
              </w:rPr>
            </w:r>
          </w:p>
        </w:tc>
        <w:tc>
          <w:tcPr>
            <w:tcW w:type="dxa" w:w="1440"/>
          </w:tcPr>
          <w:p>
            <w:r>
              <w:rPr>
                <w:sz w:val="18"/>
              </w:rPr>
            </w:r>
          </w:p>
        </w:tc>
        <w:tc>
          <w:tcPr>
            <w:tcW w:type="dxa" w:w="1440"/>
          </w:tcPr>
          <w:p>
            <w:r>
              <w:rPr>
                <w:sz w:val="18"/>
              </w:rPr>
            </w:r>
          </w:p>
        </w:tc>
        <w:tc>
          <w:tcPr>
            <w:tcW w:type="dxa" w:w="2736"/>
          </w:tcPr>
          <w:p>
            <w:r>
              <w:rPr>
                <w:sz w:val="18"/>
              </w:rPr>
            </w:r>
          </w:p>
        </w:tc>
      </w:tr>
      <w:tr>
        <w:tc>
          <w:tcPr>
            <w:tcW w:type="dxa" w:w="3600"/>
          </w:tcPr>
          <w:p>
            <w:r>
              <w:rPr>
                <w:sz w:val="18"/>
              </w:rPr>
              <w:t>System capability from the A.R.T. assessment, as the minimum of the three</w:t>
            </w:r>
          </w:p>
        </w:tc>
        <w:tc>
          <w:tcPr>
            <w:tcW w:type="dxa" w:w="1440"/>
          </w:tcPr>
          <w:p>
            <w:r>
              <w:rPr>
                <w:sz w:val="18"/>
              </w:rPr>
            </w:r>
          </w:p>
        </w:tc>
        <w:tc>
          <w:tcPr>
            <w:tcW w:type="dxa" w:w="1440"/>
          </w:tcPr>
          <w:p>
            <w:r>
              <w:rPr>
                <w:sz w:val="18"/>
              </w:rPr>
            </w:r>
          </w:p>
        </w:tc>
        <w:tc>
          <w:tcPr>
            <w:tcW w:type="dxa" w:w="1440"/>
          </w:tcPr>
          <w:p>
            <w:r>
              <w:rPr>
                <w:sz w:val="18"/>
              </w:rPr>
            </w:r>
          </w:p>
        </w:tc>
        <w:tc>
          <w:tcPr>
            <w:tcW w:type="dxa" w:w="2736"/>
          </w:tcPr>
          <w:p>
            <w:r>
              <w:rPr>
                <w:sz w:val="18"/>
              </w:rPr>
            </w:r>
          </w:p>
        </w:tc>
      </w:tr>
      <w:tr>
        <w:tc>
          <w:tcPr>
            <w:tcW w:type="dxa" w:w="3600"/>
          </w:tcPr>
          <w:p>
            <w:r>
              <w:rPr>
                <w:sz w:val="18"/>
              </w:rPr>
              <w:t>Sovereignty Clock reading on the worst quadrant</w:t>
            </w:r>
          </w:p>
        </w:tc>
        <w:tc>
          <w:tcPr>
            <w:tcW w:type="dxa" w:w="1440"/>
          </w:tcPr>
          <w:p>
            <w:r>
              <w:rPr>
                <w:sz w:val="18"/>
              </w:rPr>
            </w:r>
          </w:p>
        </w:tc>
        <w:tc>
          <w:tcPr>
            <w:tcW w:type="dxa" w:w="1440"/>
          </w:tcPr>
          <w:p>
            <w:r>
              <w:rPr>
                <w:sz w:val="18"/>
              </w:rPr>
            </w:r>
          </w:p>
        </w:tc>
        <w:tc>
          <w:tcPr>
            <w:tcW w:type="dxa" w:w="1440"/>
          </w:tcPr>
          <w:p>
            <w:r>
              <w:rPr>
                <w:sz w:val="18"/>
              </w:rPr>
            </w:r>
          </w:p>
        </w:tc>
        <w:tc>
          <w:tcPr>
            <w:tcW w:type="dxa" w:w="2736"/>
          </w:tcPr>
          <w:p>
            <w:r>
              <w:rPr>
                <w:sz w:val="18"/>
              </w:rPr>
            </w:r>
          </w:p>
        </w:tc>
      </w:tr>
      <w:tr>
        <w:tc>
          <w:tcPr>
            <w:tcW w:type="dxa" w:w="3600"/>
          </w:tcPr>
          <w:p>
            <w:r>
              <w:rPr>
                <w:sz w:val="18"/>
              </w:rPr>
              <w:t>Cost per compliant decision on the reference workload</w:t>
            </w:r>
          </w:p>
        </w:tc>
        <w:tc>
          <w:tcPr>
            <w:tcW w:type="dxa" w:w="1440"/>
          </w:tcPr>
          <w:p>
            <w:r>
              <w:rPr>
                <w:sz w:val="18"/>
              </w:rPr>
            </w:r>
          </w:p>
        </w:tc>
        <w:tc>
          <w:tcPr>
            <w:tcW w:type="dxa" w:w="1440"/>
          </w:tcPr>
          <w:p>
            <w:r>
              <w:rPr>
                <w:sz w:val="18"/>
              </w:rPr>
            </w:r>
          </w:p>
        </w:tc>
        <w:tc>
          <w:tcPr>
            <w:tcW w:type="dxa" w:w="1440"/>
          </w:tcPr>
          <w:p>
            <w:r>
              <w:rPr>
                <w:sz w:val="18"/>
              </w:rPr>
            </w:r>
          </w:p>
        </w:tc>
        <w:tc>
          <w:tcPr>
            <w:tcW w:type="dxa" w:w="2736"/>
          </w:tcPr>
          <w:p>
            <w:r>
              <w:rPr>
                <w:sz w:val="18"/>
              </w:rPr>
            </w:r>
          </w:p>
        </w:tc>
      </w:tr>
    </w:tbl>
    <w:p/>
    <w:tbl>
      <w:tblPr>
        <w:tblStyle w:val="TableGrid"/>
        <w:tblW w:type="auto" w:w="0"/>
        <w:tblLook w:firstColumn="1" w:firstRow="1" w:lastColumn="0" w:lastRow="0" w:noHBand="0" w:noVBand="1" w:val="04A0"/>
      </w:tblPr>
      <w:tblGrid>
        <w:gridCol w:w="9792"/>
      </w:tblGrid>
      <w:tr>
        <w:tc>
          <w:tcPr>
            <w:tcW w:type="dxa" w:w="9792"/>
            <w:shd w:val="clear" w:fill="EEF2F7"/>
          </w:tcPr>
          <w:p>
            <w:r>
              <w:rPr>
                <w:b/>
                <w:color w:val="1A2A3A"/>
                <w:sz w:val="20"/>
              </w:rPr>
              <w:t>Why these five</w:t>
            </w:r>
          </w:p>
          <w:p>
            <w:r>
              <w:rPr>
                <w:sz w:val="20"/>
              </w:rPr>
              <w:t>Each one is a minimum or a worst case rather than an average, which is the only way to report a portfolio honestly. An average capability score, an average clock reading and an average unit cost can all improve while the thing that will actually cause the crisis gets worse.</w:t>
            </w:r>
          </w:p>
        </w:tc>
      </w:tr>
    </w:tbl>
    <w:p/>
    <w:p>
      <w:pPr>
        <w:spacing w:before="320" w:after="120"/>
      </w:pPr>
      <w:r>
        <w:rPr>
          <w:b/>
          <w:color w:val="1A2A3A"/>
          <w:sz w:val="27"/>
        </w:rPr>
        <w:t>Section 2. Obligations and Dates</w:t>
      </w:r>
    </w:p>
    <w:p>
      <w:r>
        <w:rPr>
          <w:i w:val="0"/>
          <w:sz w:val="21"/>
        </w:rPr>
        <w:t>What is in force, what arrives next, and what moved. This section should be short and should never be omitted, because the dates in this area have moved twice since 2025.</w:t>
      </w:r>
    </w:p>
    <w:tbl>
      <w:tblPr>
        <w:tblStyle w:val="TableGrid"/>
        <w:tblW w:type="auto" w:w="0"/>
        <w:jc w:val="center"/>
        <w:tblLook w:firstColumn="1" w:firstRow="1" w:lastColumn="0" w:lastRow="0" w:noHBand="0" w:noVBand="1" w:val="04A0"/>
      </w:tblPr>
      <w:tblGrid>
        <w:gridCol w:w="1958"/>
        <w:gridCol w:w="1958"/>
        <w:gridCol w:w="1958"/>
        <w:gridCol w:w="1958"/>
        <w:gridCol w:w="1958"/>
      </w:tblGrid>
      <w:tr>
        <w:tc>
          <w:tcPr>
            <w:tcW w:type="dxa" w:w="3456"/>
            <w:shd w:val="clear" w:fill="1A2A3A"/>
          </w:tcPr>
          <w:p>
            <w:r>
              <w:rPr>
                <w:b/>
                <w:color w:val="FFFFFF"/>
                <w:sz w:val="17"/>
              </w:rPr>
              <w:t>Obligation</w:t>
            </w:r>
          </w:p>
        </w:tc>
        <w:tc>
          <w:tcPr>
            <w:tcW w:type="dxa" w:w="1584"/>
            <w:shd w:val="clear" w:fill="1A2A3A"/>
          </w:tcPr>
          <w:p>
            <w:r>
              <w:rPr>
                <w:b/>
                <w:color w:val="FFFFFF"/>
                <w:sz w:val="17"/>
              </w:rPr>
              <w:t>Status</w:t>
            </w:r>
          </w:p>
        </w:tc>
        <w:tc>
          <w:tcPr>
            <w:tcW w:type="dxa" w:w="1584"/>
            <w:shd w:val="clear" w:fill="1A2A3A"/>
          </w:tcPr>
          <w:p>
            <w:r>
              <w:rPr>
                <w:b/>
                <w:color w:val="FFFFFF"/>
                <w:sz w:val="17"/>
              </w:rPr>
              <w:t>Next date</w:t>
            </w:r>
          </w:p>
        </w:tc>
        <w:tc>
          <w:tcPr>
            <w:tcW w:type="dxa" w:w="2160"/>
            <w:shd w:val="clear" w:fill="1A2A3A"/>
          </w:tcPr>
          <w:p>
            <w:r>
              <w:rPr>
                <w:b/>
                <w:color w:val="FFFFFF"/>
                <w:sz w:val="17"/>
              </w:rPr>
              <w:t>Owner</w:t>
            </w:r>
          </w:p>
        </w:tc>
        <w:tc>
          <w:tcPr>
            <w:tcW w:type="dxa" w:w="1872"/>
            <w:shd w:val="clear" w:fill="1A2A3A"/>
          </w:tcPr>
          <w:p>
            <w:r>
              <w:rPr>
                <w:b/>
                <w:color w:val="FFFFFF"/>
                <w:sz w:val="17"/>
              </w:rPr>
              <w:t>Evidence position</w:t>
            </w:r>
          </w:p>
        </w:tc>
      </w:tr>
      <w:tr>
        <w:tc>
          <w:tcPr>
            <w:tcW w:type="dxa" w:w="3456"/>
          </w:tcPr>
          <w:p>
            <w:r>
              <w:rPr>
                <w:sz w:val="18"/>
              </w:rPr>
            </w:r>
          </w:p>
        </w:tc>
        <w:tc>
          <w:tcPr>
            <w:tcW w:type="dxa" w:w="1584"/>
          </w:tcPr>
          <w:p>
            <w:r>
              <w:rPr>
                <w:sz w:val="18"/>
              </w:rPr>
            </w:r>
          </w:p>
        </w:tc>
        <w:tc>
          <w:tcPr>
            <w:tcW w:type="dxa" w:w="1584"/>
          </w:tcPr>
          <w:p>
            <w:r>
              <w:rPr>
                <w:sz w:val="18"/>
              </w:rPr>
            </w:r>
          </w:p>
        </w:tc>
        <w:tc>
          <w:tcPr>
            <w:tcW w:type="dxa" w:w="2160"/>
          </w:tcPr>
          <w:p>
            <w:r>
              <w:rPr>
                <w:sz w:val="18"/>
              </w:rPr>
            </w:r>
          </w:p>
        </w:tc>
        <w:tc>
          <w:tcPr>
            <w:tcW w:type="dxa" w:w="1872"/>
          </w:tcPr>
          <w:p>
            <w:r>
              <w:rPr>
                <w:sz w:val="18"/>
              </w:rPr>
            </w:r>
          </w:p>
        </w:tc>
      </w:tr>
      <w:tr>
        <w:tc>
          <w:tcPr>
            <w:tcW w:type="dxa" w:w="3456"/>
          </w:tcPr>
          <w:p>
            <w:r>
              <w:rPr>
                <w:sz w:val="18"/>
              </w:rPr>
            </w:r>
          </w:p>
        </w:tc>
        <w:tc>
          <w:tcPr>
            <w:tcW w:type="dxa" w:w="1584"/>
          </w:tcPr>
          <w:p>
            <w:r>
              <w:rPr>
                <w:sz w:val="18"/>
              </w:rPr>
            </w:r>
          </w:p>
        </w:tc>
        <w:tc>
          <w:tcPr>
            <w:tcW w:type="dxa" w:w="1584"/>
          </w:tcPr>
          <w:p>
            <w:r>
              <w:rPr>
                <w:sz w:val="18"/>
              </w:rPr>
            </w:r>
          </w:p>
        </w:tc>
        <w:tc>
          <w:tcPr>
            <w:tcW w:type="dxa" w:w="2160"/>
          </w:tcPr>
          <w:p>
            <w:r>
              <w:rPr>
                <w:sz w:val="18"/>
              </w:rPr>
            </w:r>
          </w:p>
        </w:tc>
        <w:tc>
          <w:tcPr>
            <w:tcW w:type="dxa" w:w="1872"/>
          </w:tcPr>
          <w:p>
            <w:r>
              <w:rPr>
                <w:sz w:val="18"/>
              </w:rPr>
            </w:r>
          </w:p>
        </w:tc>
      </w:tr>
      <w:tr>
        <w:tc>
          <w:tcPr>
            <w:tcW w:type="dxa" w:w="3456"/>
          </w:tcPr>
          <w:p>
            <w:r>
              <w:rPr>
                <w:sz w:val="18"/>
              </w:rPr>
            </w:r>
          </w:p>
        </w:tc>
        <w:tc>
          <w:tcPr>
            <w:tcW w:type="dxa" w:w="1584"/>
          </w:tcPr>
          <w:p>
            <w:r>
              <w:rPr>
                <w:sz w:val="18"/>
              </w:rPr>
            </w:r>
          </w:p>
        </w:tc>
        <w:tc>
          <w:tcPr>
            <w:tcW w:type="dxa" w:w="1584"/>
          </w:tcPr>
          <w:p>
            <w:r>
              <w:rPr>
                <w:sz w:val="18"/>
              </w:rPr>
            </w:r>
          </w:p>
        </w:tc>
        <w:tc>
          <w:tcPr>
            <w:tcW w:type="dxa" w:w="2160"/>
          </w:tcPr>
          <w:p>
            <w:r>
              <w:rPr>
                <w:sz w:val="18"/>
              </w:rPr>
            </w:r>
          </w:p>
        </w:tc>
        <w:tc>
          <w:tcPr>
            <w:tcW w:type="dxa" w:w="1872"/>
          </w:tcPr>
          <w:p>
            <w:r>
              <w:rPr>
                <w:sz w:val="18"/>
              </w:rPr>
            </w:r>
          </w:p>
        </w:tc>
      </w:tr>
      <w:tr>
        <w:tc>
          <w:tcPr>
            <w:tcW w:type="dxa" w:w="3456"/>
          </w:tcPr>
          <w:p>
            <w:r>
              <w:rPr>
                <w:sz w:val="18"/>
              </w:rPr>
            </w:r>
          </w:p>
        </w:tc>
        <w:tc>
          <w:tcPr>
            <w:tcW w:type="dxa" w:w="1584"/>
          </w:tcPr>
          <w:p>
            <w:r>
              <w:rPr>
                <w:sz w:val="18"/>
              </w:rPr>
            </w:r>
          </w:p>
        </w:tc>
        <w:tc>
          <w:tcPr>
            <w:tcW w:type="dxa" w:w="1584"/>
          </w:tcPr>
          <w:p>
            <w:r>
              <w:rPr>
                <w:sz w:val="18"/>
              </w:rPr>
            </w:r>
          </w:p>
        </w:tc>
        <w:tc>
          <w:tcPr>
            <w:tcW w:type="dxa" w:w="2160"/>
          </w:tcPr>
          <w:p>
            <w:r>
              <w:rPr>
                <w:sz w:val="18"/>
              </w:rPr>
            </w:r>
          </w:p>
        </w:tc>
        <w:tc>
          <w:tcPr>
            <w:tcW w:type="dxa" w:w="1872"/>
          </w:tcPr>
          <w:p>
            <w:r>
              <w:rPr>
                <w:sz w:val="18"/>
              </w:rPr>
            </w:r>
          </w:p>
        </w:tc>
      </w:tr>
      <w:tr>
        <w:tc>
          <w:tcPr>
            <w:tcW w:type="dxa" w:w="3456"/>
          </w:tcPr>
          <w:p>
            <w:r>
              <w:rPr>
                <w:sz w:val="18"/>
              </w:rPr>
            </w:r>
          </w:p>
        </w:tc>
        <w:tc>
          <w:tcPr>
            <w:tcW w:type="dxa" w:w="1584"/>
          </w:tcPr>
          <w:p>
            <w:r>
              <w:rPr>
                <w:sz w:val="18"/>
              </w:rPr>
            </w:r>
          </w:p>
        </w:tc>
        <w:tc>
          <w:tcPr>
            <w:tcW w:type="dxa" w:w="1584"/>
          </w:tcPr>
          <w:p>
            <w:r>
              <w:rPr>
                <w:sz w:val="18"/>
              </w:rPr>
            </w:r>
          </w:p>
        </w:tc>
        <w:tc>
          <w:tcPr>
            <w:tcW w:type="dxa" w:w="2160"/>
          </w:tcPr>
          <w:p>
            <w:r>
              <w:rPr>
                <w:sz w:val="18"/>
              </w:rPr>
            </w:r>
          </w:p>
        </w:tc>
        <w:tc>
          <w:tcPr>
            <w:tcW w:type="dxa" w:w="1872"/>
          </w:tcPr>
          <w:p>
            <w:r>
              <w:rPr>
                <w:sz w:val="18"/>
              </w:rPr>
            </w:r>
          </w:p>
        </w:tc>
      </w:tr>
    </w:tbl>
    <w:p/>
    <w:p>
      <w:pPr>
        <w:spacing w:after="60"/>
      </w:pPr>
      <w:r>
        <w:rPr>
          <w:b/>
          <w:sz w:val="20"/>
        </w:rPr>
        <w:t xml:space="preserve">Anything that moved since the last report, and in which direction: </w:t>
      </w:r>
      <w:r>
        <w:rPr>
          <w:color w:val="6B7785"/>
          <w:sz w:val="20"/>
        </w:rPr>
        <w:t>[ to be completed ]</w:t>
      </w:r>
    </w:p>
    <w:p>
      <w:pPr>
        <w:spacing w:after="60"/>
      </w:pPr>
      <w:r>
        <w:rPr>
          <w:b/>
          <w:sz w:val="20"/>
        </w:rPr>
        <w:t xml:space="preserve">Nearest date, and days remaining: </w:t>
      </w:r>
      <w:r>
        <w:rPr>
          <w:color w:val="6B7785"/>
          <w:sz w:val="20"/>
        </w:rPr>
        <w:t>[ to be completed ]</w:t>
      </w:r>
    </w:p>
    <w:p>
      <w:pPr>
        <w:spacing w:before="320" w:after="120"/>
      </w:pPr>
      <w:r>
        <w:rPr>
          <w:b/>
          <w:color w:val="1A2A3A"/>
          <w:sz w:val="27"/>
        </w:rPr>
        <w:t>Section 3. Incidents, Near Misses and Reversals</w:t>
      </w:r>
    </w:p>
    <w:p>
      <w:r>
        <w:rPr>
          <w:i w:val="0"/>
          <w:sz w:val="21"/>
        </w:rPr>
        <w:t>Report near misses and reversals, not only incidents. A quarter with no incidents and no near misses usually means the detection is not working rather than that nothing happened.</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3744"/>
            <w:shd w:val="clear" w:fill="1A2A3A"/>
          </w:tcPr>
          <w:p>
            <w:r>
              <w:rPr>
                <w:b/>
                <w:color w:val="FFFFFF"/>
                <w:sz w:val="17"/>
              </w:rPr>
              <w:t>Category</w:t>
            </w:r>
          </w:p>
        </w:tc>
        <w:tc>
          <w:tcPr>
            <w:tcW w:type="dxa" w:w="1728"/>
            <w:shd w:val="clear" w:fill="1A2A3A"/>
          </w:tcPr>
          <w:p>
            <w:r>
              <w:rPr>
                <w:b/>
                <w:color w:val="FFFFFF"/>
                <w:sz w:val="17"/>
              </w:rPr>
              <w:t>Count this quarter</w:t>
            </w:r>
          </w:p>
        </w:tc>
        <w:tc>
          <w:tcPr>
            <w:tcW w:type="dxa" w:w="1728"/>
            <w:shd w:val="clear" w:fill="1A2A3A"/>
          </w:tcPr>
          <w:p>
            <w:r>
              <w:rPr>
                <w:b/>
                <w:color w:val="FFFFFF"/>
                <w:sz w:val="17"/>
              </w:rPr>
              <w:t>Count last quarter</w:t>
            </w:r>
          </w:p>
        </w:tc>
        <w:tc>
          <w:tcPr>
            <w:tcW w:type="dxa" w:w="3456"/>
            <w:shd w:val="clear" w:fill="1A2A3A"/>
          </w:tcPr>
          <w:p>
            <w:r>
              <w:rPr>
                <w:b/>
                <w:color w:val="FFFFFF"/>
                <w:sz w:val="17"/>
              </w:rPr>
              <w:t>Most significant, in one line</w:t>
            </w:r>
          </w:p>
        </w:tc>
      </w:tr>
      <w:tr>
        <w:tc>
          <w:tcPr>
            <w:tcW w:type="dxa" w:w="3744"/>
          </w:tcPr>
          <w:p>
            <w:r>
              <w:rPr>
                <w:sz w:val="18"/>
              </w:rPr>
              <w:t>Serious incidents, as defined under Article 73</w:t>
            </w:r>
          </w:p>
        </w:tc>
        <w:tc>
          <w:tcPr>
            <w:tcW w:type="dxa" w:w="1728"/>
          </w:tcPr>
          <w:p>
            <w:r>
              <w:rPr>
                <w:sz w:val="18"/>
              </w:rPr>
            </w:r>
          </w:p>
        </w:tc>
        <w:tc>
          <w:tcPr>
            <w:tcW w:type="dxa" w:w="1728"/>
          </w:tcPr>
          <w:p>
            <w:r>
              <w:rPr>
                <w:sz w:val="18"/>
              </w:rPr>
            </w:r>
          </w:p>
        </w:tc>
        <w:tc>
          <w:tcPr>
            <w:tcW w:type="dxa" w:w="3456"/>
          </w:tcPr>
          <w:p>
            <w:r>
              <w:rPr>
                <w:sz w:val="18"/>
              </w:rPr>
            </w:r>
          </w:p>
        </w:tc>
      </w:tr>
      <w:tr>
        <w:tc>
          <w:tcPr>
            <w:tcW w:type="dxa" w:w="3744"/>
          </w:tcPr>
          <w:p>
            <w:r>
              <w:rPr>
                <w:sz w:val="18"/>
              </w:rPr>
              <w:t>Internal incidents below the reporting threshold</w:t>
            </w:r>
          </w:p>
        </w:tc>
        <w:tc>
          <w:tcPr>
            <w:tcW w:type="dxa" w:w="1728"/>
          </w:tcPr>
          <w:p>
            <w:r>
              <w:rPr>
                <w:sz w:val="18"/>
              </w:rPr>
            </w:r>
          </w:p>
        </w:tc>
        <w:tc>
          <w:tcPr>
            <w:tcW w:type="dxa" w:w="1728"/>
          </w:tcPr>
          <w:p>
            <w:r>
              <w:rPr>
                <w:sz w:val="18"/>
              </w:rPr>
            </w:r>
          </w:p>
        </w:tc>
        <w:tc>
          <w:tcPr>
            <w:tcW w:type="dxa" w:w="3456"/>
          </w:tcPr>
          <w:p>
            <w:r>
              <w:rPr>
                <w:sz w:val="18"/>
              </w:rPr>
            </w:r>
          </w:p>
        </w:tc>
      </w:tr>
      <w:tr>
        <w:tc>
          <w:tcPr>
            <w:tcW w:type="dxa" w:w="3744"/>
          </w:tcPr>
          <w:p>
            <w:r>
              <w:rPr>
                <w:sz w:val="18"/>
              </w:rPr>
              <w:t>Near misses caught by oversight</w:t>
            </w:r>
          </w:p>
        </w:tc>
        <w:tc>
          <w:tcPr>
            <w:tcW w:type="dxa" w:w="1728"/>
          </w:tcPr>
          <w:p>
            <w:r>
              <w:rPr>
                <w:sz w:val="18"/>
              </w:rPr>
            </w:r>
          </w:p>
        </w:tc>
        <w:tc>
          <w:tcPr>
            <w:tcW w:type="dxa" w:w="1728"/>
          </w:tcPr>
          <w:p>
            <w:r>
              <w:rPr>
                <w:sz w:val="18"/>
              </w:rPr>
            </w:r>
          </w:p>
        </w:tc>
        <w:tc>
          <w:tcPr>
            <w:tcW w:type="dxa" w:w="3456"/>
          </w:tcPr>
          <w:p>
            <w:r>
              <w:rPr>
                <w:sz w:val="18"/>
              </w:rPr>
            </w:r>
          </w:p>
        </w:tc>
      </w:tr>
      <w:tr>
        <w:tc>
          <w:tcPr>
            <w:tcW w:type="dxa" w:w="3744"/>
          </w:tcPr>
          <w:p>
            <w:r>
              <w:rPr>
                <w:sz w:val="18"/>
              </w:rPr>
              <w:t>Actions reversed</w:t>
            </w:r>
          </w:p>
        </w:tc>
        <w:tc>
          <w:tcPr>
            <w:tcW w:type="dxa" w:w="1728"/>
          </w:tcPr>
          <w:p>
            <w:r>
              <w:rPr>
                <w:sz w:val="18"/>
              </w:rPr>
            </w:r>
          </w:p>
        </w:tc>
        <w:tc>
          <w:tcPr>
            <w:tcW w:type="dxa" w:w="1728"/>
          </w:tcPr>
          <w:p>
            <w:r>
              <w:rPr>
                <w:sz w:val="18"/>
              </w:rPr>
            </w:r>
          </w:p>
        </w:tc>
        <w:tc>
          <w:tcPr>
            <w:tcW w:type="dxa" w:w="3456"/>
          </w:tcPr>
          <w:p>
            <w:r>
              <w:rPr>
                <w:sz w:val="18"/>
              </w:rPr>
            </w:r>
          </w:p>
        </w:tc>
      </w:tr>
      <w:tr>
        <w:tc>
          <w:tcPr>
            <w:tcW w:type="dxa" w:w="3744"/>
          </w:tcPr>
          <w:p>
            <w:r>
              <w:rPr>
                <w:sz w:val="18"/>
              </w:rPr>
              <w:t>Actions that could not be reversed</w:t>
            </w:r>
          </w:p>
        </w:tc>
        <w:tc>
          <w:tcPr>
            <w:tcW w:type="dxa" w:w="1728"/>
          </w:tcPr>
          <w:p>
            <w:r>
              <w:rPr>
                <w:sz w:val="18"/>
              </w:rPr>
            </w:r>
          </w:p>
        </w:tc>
        <w:tc>
          <w:tcPr>
            <w:tcW w:type="dxa" w:w="1728"/>
          </w:tcPr>
          <w:p>
            <w:r>
              <w:rPr>
                <w:sz w:val="18"/>
              </w:rPr>
            </w:r>
          </w:p>
        </w:tc>
        <w:tc>
          <w:tcPr>
            <w:tcW w:type="dxa" w:w="3456"/>
          </w:tcPr>
          <w:p>
            <w:r>
              <w:rPr>
                <w:sz w:val="18"/>
              </w:rPr>
            </w:r>
          </w:p>
        </w:tc>
      </w:tr>
      <w:tr>
        <w:tc>
          <w:tcPr>
            <w:tcW w:type="dxa" w:w="3744"/>
          </w:tcPr>
          <w:p>
            <w:r>
              <w:rPr>
                <w:sz w:val="18"/>
              </w:rPr>
              <w:t>Error budget thresholds crossed</w:t>
            </w:r>
          </w:p>
        </w:tc>
        <w:tc>
          <w:tcPr>
            <w:tcW w:type="dxa" w:w="1728"/>
          </w:tcPr>
          <w:p>
            <w:r>
              <w:rPr>
                <w:sz w:val="18"/>
              </w:rPr>
            </w:r>
          </w:p>
        </w:tc>
        <w:tc>
          <w:tcPr>
            <w:tcW w:type="dxa" w:w="1728"/>
          </w:tcPr>
          <w:p>
            <w:r>
              <w:rPr>
                <w:sz w:val="18"/>
              </w:rPr>
            </w:r>
          </w:p>
        </w:tc>
        <w:tc>
          <w:tcPr>
            <w:tcW w:type="dxa" w:w="3456"/>
          </w:tcPr>
          <w:p>
            <w:r>
              <w:rPr>
                <w:sz w:val="18"/>
              </w:rPr>
            </w:r>
          </w:p>
        </w:tc>
      </w:tr>
      <w:tr>
        <w:tc>
          <w:tcPr>
            <w:tcW w:type="dxa" w:w="3744"/>
          </w:tcPr>
          <w:p>
            <w:r>
              <w:rPr>
                <w:sz w:val="18"/>
              </w:rPr>
              <w:t>Thresholds crossed without the consequence following</w:t>
            </w:r>
          </w:p>
        </w:tc>
        <w:tc>
          <w:tcPr>
            <w:tcW w:type="dxa" w:w="1728"/>
          </w:tcPr>
          <w:p>
            <w:r>
              <w:rPr>
                <w:sz w:val="18"/>
              </w:rPr>
            </w:r>
          </w:p>
        </w:tc>
        <w:tc>
          <w:tcPr>
            <w:tcW w:type="dxa" w:w="1728"/>
          </w:tcPr>
          <w:p>
            <w:r>
              <w:rPr>
                <w:sz w:val="18"/>
              </w:rPr>
            </w:r>
          </w:p>
        </w:tc>
        <w:tc>
          <w:tcPr>
            <w:tcW w:type="dxa" w:w="3456"/>
          </w:tcPr>
          <w:p>
            <w:r>
              <w:rPr>
                <w:sz w:val="18"/>
              </w:rPr>
            </w:r>
          </w:p>
        </w:tc>
      </w:tr>
    </w:tbl>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The row that matters most</w:t>
            </w:r>
          </w:p>
          <w:p>
            <w:r>
              <w:rPr>
                <w:sz w:val="20"/>
              </w:rPr>
              <w:t>The last one. A threshold crossed without its consequence following means the control is documented and not operating, which is the specific condition the 2026 evidence describes: the share of organisations with AI policies actually in place fell while the share with policies in development rose. A policy on a slide is not a control. This row is how a board detects the difference.</w:t>
            </w:r>
          </w:p>
        </w:tc>
      </w:tr>
    </w:tbl>
    <w:p/>
    <w:p>
      <w:pPr>
        <w:spacing w:before="320" w:after="120"/>
      </w:pPr>
      <w:r>
        <w:rPr>
          <w:b/>
          <w:color w:val="1A2A3A"/>
          <w:sz w:val="27"/>
        </w:rPr>
        <w:t>Section 4. The Ask</w:t>
      </w:r>
    </w:p>
    <w:p>
      <w:r>
        <w:rPr>
          <w:i w:val="0"/>
          <w:sz w:val="21"/>
        </w:rPr>
        <w:t>One decision per report. A report with no decision requested is information, and information does not need a board.</w:t>
      </w:r>
    </w:p>
    <w:p>
      <w:pPr>
        <w:spacing w:after="60"/>
      </w:pPr>
      <w:r>
        <w:rPr>
          <w:b/>
          <w:sz w:val="20"/>
        </w:rPr>
        <w:t xml:space="preserve">Decision requested: </w:t>
      </w:r>
      <w:r>
        <w:rPr>
          <w:color w:val="6B7785"/>
          <w:sz w:val="20"/>
        </w:rPr>
        <w:t>[ to be completed ]</w:t>
      </w:r>
    </w:p>
    <w:p>
      <w:pPr>
        <w:spacing w:after="60"/>
      </w:pPr>
      <w:r>
        <w:rPr>
          <w:b/>
          <w:sz w:val="20"/>
        </w:rPr>
        <w:t xml:space="preserve">Amount, with currency: </w:t>
      </w:r>
      <w:r>
        <w:rPr>
          <w:color w:val="6B7785"/>
          <w:sz w:val="20"/>
        </w:rPr>
        <w:t>[ to be completed ]</w:t>
      </w:r>
    </w:p>
    <w:p>
      <w:pPr>
        <w:spacing w:after="60"/>
      </w:pPr>
      <w:r>
        <w:rPr>
          <w:b/>
          <w:sz w:val="20"/>
        </w:rPr>
        <w:t xml:space="preserve">What it buys, in terms of the measures in Section 1: </w:t>
      </w:r>
      <w:r>
        <w:rPr>
          <w:color w:val="6B7785"/>
          <w:sz w:val="20"/>
        </w:rPr>
        <w:t>[ to be completed ]</w:t>
      </w:r>
    </w:p>
    <w:p>
      <w:pPr>
        <w:spacing w:after="60"/>
      </w:pPr>
      <w:r>
        <w:rPr>
          <w:b/>
          <w:sz w:val="20"/>
        </w:rPr>
        <w:t xml:space="preserve">Confidence in the figures, and how many evidence tests pass: </w:t>
      </w:r>
      <w:r>
        <w:rPr>
          <w:color w:val="6B7785"/>
          <w:sz w:val="20"/>
        </w:rPr>
        <w:t>[ to be completed ]</w:t>
      </w:r>
    </w:p>
    <w:p>
      <w:pPr>
        <w:spacing w:after="60"/>
      </w:pPr>
      <w:r>
        <w:rPr>
          <w:b/>
          <w:sz w:val="20"/>
        </w:rPr>
        <w:t xml:space="preserve">Cost of deferring one quarter: </w:t>
      </w:r>
      <w:r>
        <w:rPr>
          <w:color w:val="6B7785"/>
          <w:sz w:val="20"/>
        </w:rPr>
        <w:t>[ to be completed ]</w:t>
      </w:r>
    </w:p>
    <w:p>
      <w:pPr>
        <w:spacing w:after="60"/>
      </w:pPr>
      <w:r>
        <w:rPr>
          <w:b/>
          <w:sz w:val="20"/>
        </w:rPr>
        <w:t xml:space="preserve">Accountable owner, name and role: </w:t>
      </w:r>
      <w:r>
        <w:rPr>
          <w:color w:val="6B7785"/>
          <w:sz w:val="20"/>
        </w:rPr>
        <w:t>[ to be completed ]</w:t>
      </w:r>
    </w:p>
    <w:p>
      <w:pPr>
        <w:spacing w:before="320" w:after="120"/>
      </w:pPr>
      <w:r>
        <w:rPr>
          <w:b/>
          <w:color w:val="1A2A3A"/>
          <w:sz w:val="27"/>
        </w:rPr>
        <w:t>Section 5. What We Would Not Be Able To Answer</w:t>
      </w:r>
    </w:p>
    <w:p>
      <w:r>
        <w:rPr>
          <w:i w:val="0"/>
          <w:sz w:val="21"/>
        </w:rPr>
        <w:t>The section most reports omit and the one that builds the most credibility. List the questions the board could reasonably ask this quarter that you could not answer, and when you will be able to.</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4320"/>
            <w:shd w:val="clear" w:fill="1A2A3A"/>
          </w:tcPr>
          <w:p>
            <w:r>
              <w:rPr>
                <w:b/>
                <w:color w:val="FFFFFF"/>
                <w:sz w:val="17"/>
              </w:rPr>
              <w:t>Question we could not answer today</w:t>
            </w:r>
          </w:p>
        </w:tc>
        <w:tc>
          <w:tcPr>
            <w:tcW w:type="dxa" w:w="2736"/>
            <w:shd w:val="clear" w:fill="1A2A3A"/>
          </w:tcPr>
          <w:p>
            <w:r>
              <w:rPr>
                <w:b/>
                <w:color w:val="FFFFFF"/>
                <w:sz w:val="17"/>
              </w:rPr>
              <w:t>Why not</w:t>
            </w:r>
          </w:p>
        </w:tc>
        <w:tc>
          <w:tcPr>
            <w:tcW w:type="dxa" w:w="2016"/>
            <w:shd w:val="clear" w:fill="1A2A3A"/>
          </w:tcPr>
          <w:p>
            <w:r>
              <w:rPr>
                <w:b/>
                <w:color w:val="FFFFFF"/>
                <w:sz w:val="17"/>
              </w:rPr>
              <w:t>When we will be able to</w:t>
            </w:r>
          </w:p>
        </w:tc>
        <w:tc>
          <w:tcPr>
            <w:tcW w:type="dxa" w:w="2016"/>
            <w:shd w:val="clear" w:fill="1A2A3A"/>
          </w:tcPr>
          <w:p>
            <w:r>
              <w:rPr>
                <w:b/>
                <w:color w:val="FFFFFF"/>
                <w:sz w:val="17"/>
              </w:rPr>
              <w:t>Owner</w:t>
            </w:r>
          </w:p>
        </w:tc>
      </w:tr>
      <w:tr>
        <w:tc>
          <w:tcPr>
            <w:tcW w:type="dxa" w:w="4320"/>
          </w:tcPr>
          <w:p>
            <w:r>
              <w:rPr>
                <w:sz w:val="18"/>
              </w:rPr>
            </w:r>
          </w:p>
        </w:tc>
        <w:tc>
          <w:tcPr>
            <w:tcW w:type="dxa" w:w="2736"/>
          </w:tcPr>
          <w:p>
            <w:r>
              <w:rPr>
                <w:sz w:val="18"/>
              </w:rPr>
            </w:r>
          </w:p>
        </w:tc>
        <w:tc>
          <w:tcPr>
            <w:tcW w:type="dxa" w:w="2016"/>
          </w:tcPr>
          <w:p>
            <w:r>
              <w:rPr>
                <w:sz w:val="18"/>
              </w:rPr>
            </w:r>
          </w:p>
        </w:tc>
        <w:tc>
          <w:tcPr>
            <w:tcW w:type="dxa" w:w="2016"/>
          </w:tcPr>
          <w:p>
            <w:r>
              <w:rPr>
                <w:sz w:val="18"/>
              </w:rPr>
            </w:r>
          </w:p>
        </w:tc>
      </w:tr>
      <w:tr>
        <w:tc>
          <w:tcPr>
            <w:tcW w:type="dxa" w:w="4320"/>
          </w:tcPr>
          <w:p>
            <w:r>
              <w:rPr>
                <w:sz w:val="18"/>
              </w:rPr>
            </w:r>
          </w:p>
        </w:tc>
        <w:tc>
          <w:tcPr>
            <w:tcW w:type="dxa" w:w="2736"/>
          </w:tcPr>
          <w:p>
            <w:r>
              <w:rPr>
                <w:sz w:val="18"/>
              </w:rPr>
            </w:r>
          </w:p>
        </w:tc>
        <w:tc>
          <w:tcPr>
            <w:tcW w:type="dxa" w:w="2016"/>
          </w:tcPr>
          <w:p>
            <w:r>
              <w:rPr>
                <w:sz w:val="18"/>
              </w:rPr>
            </w:r>
          </w:p>
        </w:tc>
        <w:tc>
          <w:tcPr>
            <w:tcW w:type="dxa" w:w="2016"/>
          </w:tcPr>
          <w:p>
            <w:r>
              <w:rPr>
                <w:sz w:val="18"/>
              </w:rPr>
            </w:r>
          </w:p>
        </w:tc>
      </w:tr>
      <w:tr>
        <w:tc>
          <w:tcPr>
            <w:tcW w:type="dxa" w:w="4320"/>
          </w:tcPr>
          <w:p>
            <w:r>
              <w:rPr>
                <w:sz w:val="18"/>
              </w:rPr>
            </w:r>
          </w:p>
        </w:tc>
        <w:tc>
          <w:tcPr>
            <w:tcW w:type="dxa" w:w="2736"/>
          </w:tcPr>
          <w:p>
            <w:r>
              <w:rPr>
                <w:sz w:val="18"/>
              </w:rPr>
            </w:r>
          </w:p>
        </w:tc>
        <w:tc>
          <w:tcPr>
            <w:tcW w:type="dxa" w:w="2016"/>
          </w:tcPr>
          <w:p>
            <w:r>
              <w:rPr>
                <w:sz w:val="18"/>
              </w:rPr>
            </w:r>
          </w:p>
        </w:tc>
        <w:tc>
          <w:tcPr>
            <w:tcW w:type="dxa" w:w="2016"/>
          </w:tcPr>
          <w:p>
            <w:r>
              <w:rPr>
                <w:sz w:val="18"/>
              </w:rPr>
            </w:r>
          </w:p>
        </w:tc>
      </w:tr>
    </w:tbl>
    <w:p/>
    <w:p>
      <w:r>
        <w:br w:type="page"/>
      </w:r>
    </w:p>
    <w:p>
      <w:pPr>
        <w:spacing w:before="320" w:after="120"/>
      </w:pPr>
      <w:r>
        <w:rPr>
          <w:b/>
          <w:color w:val="1A2A3A"/>
          <w:sz w:val="27"/>
        </w:rPr>
        <w:t>Board Self Assessment</w:t>
      </w:r>
    </w:p>
    <w:p>
      <w:r>
        <w:rPr>
          <w:i w:val="0"/>
          <w:sz w:val="21"/>
        </w:rPr>
        <w:t>From Chapter 16. The board completes this, not management. It is deliberately uncomfortable, and it is the instrument that converts a briefing into oversight. Run it annually, or after any incident.</w:t>
      </w:r>
    </w:p>
    <w:tbl>
      <w:tblPr>
        <w:tblStyle w:val="TableGrid"/>
        <w:tblW w:type="auto" w:w="0"/>
        <w:jc w:val="center"/>
        <w:tblLook w:firstColumn="1" w:firstRow="1" w:lastColumn="0" w:lastRow="0" w:noHBand="0" w:noVBand="1" w:val="04A0"/>
      </w:tblPr>
      <w:tblGrid>
        <w:gridCol w:w="1958"/>
        <w:gridCol w:w="1958"/>
        <w:gridCol w:w="1958"/>
        <w:gridCol w:w="1958"/>
        <w:gridCol w:w="1958"/>
      </w:tblGrid>
      <w:tr>
        <w:tc>
          <w:tcPr>
            <w:tcW w:type="dxa" w:w="4464"/>
            <w:shd w:val="clear" w:fill="1A2A3A"/>
          </w:tcPr>
          <w:p>
            <w:r>
              <w:rPr>
                <w:b/>
                <w:color w:val="FFFFFF"/>
                <w:sz w:val="17"/>
              </w:rPr>
              <w:t>Question</w:t>
            </w:r>
          </w:p>
        </w:tc>
        <w:tc>
          <w:tcPr>
            <w:tcW w:type="dxa" w:w="864"/>
            <w:shd w:val="clear" w:fill="1A2A3A"/>
          </w:tcPr>
          <w:p>
            <w:r>
              <w:rPr>
                <w:b/>
                <w:color w:val="FFFFFF"/>
                <w:sz w:val="17"/>
              </w:rPr>
              <w:t>Yes</w:t>
            </w:r>
          </w:p>
        </w:tc>
        <w:tc>
          <w:tcPr>
            <w:tcW w:type="dxa" w:w="1008"/>
            <w:shd w:val="clear" w:fill="1A2A3A"/>
          </w:tcPr>
          <w:p>
            <w:r>
              <w:rPr>
                <w:b/>
                <w:color w:val="FFFFFF"/>
                <w:sz w:val="17"/>
              </w:rPr>
              <w:t>Partly</w:t>
            </w:r>
          </w:p>
        </w:tc>
        <w:tc>
          <w:tcPr>
            <w:tcW w:type="dxa" w:w="864"/>
            <w:shd w:val="clear" w:fill="1A2A3A"/>
          </w:tcPr>
          <w:p>
            <w:r>
              <w:rPr>
                <w:b/>
                <w:color w:val="FFFFFF"/>
                <w:sz w:val="17"/>
              </w:rPr>
              <w:t>No</w:t>
            </w:r>
          </w:p>
        </w:tc>
        <w:tc>
          <w:tcPr>
            <w:tcW w:type="dxa" w:w="2880"/>
            <w:shd w:val="clear" w:fill="1A2A3A"/>
          </w:tcPr>
          <w:p>
            <w:r>
              <w:rPr>
                <w:b/>
                <w:color w:val="FFFFFF"/>
                <w:sz w:val="17"/>
              </w:rPr>
              <w:t>Evidence we would point to</w:t>
            </w:r>
          </w:p>
        </w:tc>
      </w:tr>
      <w:tr>
        <w:tc>
          <w:tcPr>
            <w:tcW w:type="dxa" w:w="4464"/>
          </w:tcPr>
          <w:p>
            <w:r>
              <w:rPr>
                <w:sz w:val="18"/>
              </w:rPr>
              <w:t>Do we know how many AI agents operate in this organization, to within an order of magnitude</w:t>
            </w:r>
          </w:p>
        </w:tc>
        <w:tc>
          <w:tcPr>
            <w:tcW w:type="dxa" w:w="864"/>
          </w:tcPr>
          <w:p>
            <w:r>
              <w:rPr>
                <w:sz w:val="18"/>
              </w:rPr>
            </w:r>
          </w:p>
        </w:tc>
        <w:tc>
          <w:tcPr>
            <w:tcW w:type="dxa" w:w="1008"/>
          </w:tcPr>
          <w:p>
            <w:r>
              <w:rPr>
                <w:sz w:val="18"/>
              </w:rPr>
            </w:r>
          </w:p>
        </w:tc>
        <w:tc>
          <w:tcPr>
            <w:tcW w:type="dxa" w:w="864"/>
          </w:tcPr>
          <w:p>
            <w:r>
              <w:rPr>
                <w:sz w:val="18"/>
              </w:rPr>
            </w:r>
          </w:p>
        </w:tc>
        <w:tc>
          <w:tcPr>
            <w:tcW w:type="dxa" w:w="2880"/>
          </w:tcPr>
          <w:p>
            <w:r>
              <w:rPr>
                <w:sz w:val="18"/>
              </w:rPr>
            </w:r>
          </w:p>
        </w:tc>
      </w:tr>
      <w:tr>
        <w:tc>
          <w:tcPr>
            <w:tcW w:type="dxa" w:w="4464"/>
          </w:tcPr>
          <w:p>
            <w:r>
              <w:rPr>
                <w:sz w:val="18"/>
              </w:rPr>
              <w:t>Could we name the person accountable for the most autonomous system we run</w:t>
            </w:r>
          </w:p>
        </w:tc>
        <w:tc>
          <w:tcPr>
            <w:tcW w:type="dxa" w:w="864"/>
          </w:tcPr>
          <w:p>
            <w:r>
              <w:rPr>
                <w:sz w:val="18"/>
              </w:rPr>
            </w:r>
          </w:p>
        </w:tc>
        <w:tc>
          <w:tcPr>
            <w:tcW w:type="dxa" w:w="1008"/>
          </w:tcPr>
          <w:p>
            <w:r>
              <w:rPr>
                <w:sz w:val="18"/>
              </w:rPr>
            </w:r>
          </w:p>
        </w:tc>
        <w:tc>
          <w:tcPr>
            <w:tcW w:type="dxa" w:w="864"/>
          </w:tcPr>
          <w:p>
            <w:r>
              <w:rPr>
                <w:sz w:val="18"/>
              </w:rPr>
            </w:r>
          </w:p>
        </w:tc>
        <w:tc>
          <w:tcPr>
            <w:tcW w:type="dxa" w:w="2880"/>
          </w:tcPr>
          <w:p>
            <w:r>
              <w:rPr>
                <w:sz w:val="18"/>
              </w:rPr>
            </w:r>
          </w:p>
        </w:tc>
      </w:tr>
      <w:tr>
        <w:tc>
          <w:tcPr>
            <w:tcW w:type="dxa" w:w="4464"/>
          </w:tcPr>
          <w:p>
            <w:r>
              <w:rPr>
                <w:sz w:val="18"/>
              </w:rPr>
              <w:t>Have we ever been shown an agent being stopped, rather than told that it could be</w:t>
            </w:r>
          </w:p>
        </w:tc>
        <w:tc>
          <w:tcPr>
            <w:tcW w:type="dxa" w:w="864"/>
          </w:tcPr>
          <w:p>
            <w:r>
              <w:rPr>
                <w:sz w:val="18"/>
              </w:rPr>
            </w:r>
          </w:p>
        </w:tc>
        <w:tc>
          <w:tcPr>
            <w:tcW w:type="dxa" w:w="1008"/>
          </w:tcPr>
          <w:p>
            <w:r>
              <w:rPr>
                <w:sz w:val="18"/>
              </w:rPr>
            </w:r>
          </w:p>
        </w:tc>
        <w:tc>
          <w:tcPr>
            <w:tcW w:type="dxa" w:w="864"/>
          </w:tcPr>
          <w:p>
            <w:r>
              <w:rPr>
                <w:sz w:val="18"/>
              </w:rPr>
            </w:r>
          </w:p>
        </w:tc>
        <w:tc>
          <w:tcPr>
            <w:tcW w:type="dxa" w:w="2880"/>
          </w:tcPr>
          <w:p>
            <w:r>
              <w:rPr>
                <w:sz w:val="18"/>
              </w:rPr>
            </w:r>
          </w:p>
        </w:tc>
      </w:tr>
      <w:tr>
        <w:tc>
          <w:tcPr>
            <w:tcW w:type="dxa" w:w="4464"/>
          </w:tcPr>
          <w:p>
            <w:r>
              <w:rPr>
                <w:sz w:val="18"/>
              </w:rPr>
              <w:t>Do we know which of our regulatory obligations are in force today as against deferred</w:t>
            </w:r>
          </w:p>
        </w:tc>
        <w:tc>
          <w:tcPr>
            <w:tcW w:type="dxa" w:w="864"/>
          </w:tcPr>
          <w:p>
            <w:r>
              <w:rPr>
                <w:sz w:val="18"/>
              </w:rPr>
            </w:r>
          </w:p>
        </w:tc>
        <w:tc>
          <w:tcPr>
            <w:tcW w:type="dxa" w:w="1008"/>
          </w:tcPr>
          <w:p>
            <w:r>
              <w:rPr>
                <w:sz w:val="18"/>
              </w:rPr>
            </w:r>
          </w:p>
        </w:tc>
        <w:tc>
          <w:tcPr>
            <w:tcW w:type="dxa" w:w="864"/>
          </w:tcPr>
          <w:p>
            <w:r>
              <w:rPr>
                <w:sz w:val="18"/>
              </w:rPr>
            </w:r>
          </w:p>
        </w:tc>
        <w:tc>
          <w:tcPr>
            <w:tcW w:type="dxa" w:w="2880"/>
          </w:tcPr>
          <w:p>
            <w:r>
              <w:rPr>
                <w:sz w:val="18"/>
              </w:rPr>
            </w:r>
          </w:p>
        </w:tc>
      </w:tr>
      <w:tr>
        <w:tc>
          <w:tcPr>
            <w:tcW w:type="dxa" w:w="4464"/>
          </w:tcPr>
          <w:p>
            <w:r>
              <w:rPr>
                <w:sz w:val="18"/>
              </w:rPr>
              <w:t>Have we seen the same measures reported for at least three consecutive quarters</w:t>
            </w:r>
          </w:p>
        </w:tc>
        <w:tc>
          <w:tcPr>
            <w:tcW w:type="dxa" w:w="864"/>
          </w:tcPr>
          <w:p>
            <w:r>
              <w:rPr>
                <w:sz w:val="18"/>
              </w:rPr>
            </w:r>
          </w:p>
        </w:tc>
        <w:tc>
          <w:tcPr>
            <w:tcW w:type="dxa" w:w="1008"/>
          </w:tcPr>
          <w:p>
            <w:r>
              <w:rPr>
                <w:sz w:val="18"/>
              </w:rPr>
            </w:r>
          </w:p>
        </w:tc>
        <w:tc>
          <w:tcPr>
            <w:tcW w:type="dxa" w:w="864"/>
          </w:tcPr>
          <w:p>
            <w:r>
              <w:rPr>
                <w:sz w:val="18"/>
              </w:rPr>
            </w:r>
          </w:p>
        </w:tc>
        <w:tc>
          <w:tcPr>
            <w:tcW w:type="dxa" w:w="2880"/>
          </w:tcPr>
          <w:p>
            <w:r>
              <w:rPr>
                <w:sz w:val="18"/>
              </w:rPr>
            </w:r>
          </w:p>
        </w:tc>
      </w:tr>
      <w:tr>
        <w:tc>
          <w:tcPr>
            <w:tcW w:type="dxa" w:w="4464"/>
          </w:tcPr>
          <w:p>
            <w:r>
              <w:rPr>
                <w:sz w:val="18"/>
              </w:rPr>
              <w:t>Do we know what our data would be worth to an adversary who could decrypt it in 2030</w:t>
            </w:r>
          </w:p>
        </w:tc>
        <w:tc>
          <w:tcPr>
            <w:tcW w:type="dxa" w:w="864"/>
          </w:tcPr>
          <w:p>
            <w:r>
              <w:rPr>
                <w:sz w:val="18"/>
              </w:rPr>
            </w:r>
          </w:p>
        </w:tc>
        <w:tc>
          <w:tcPr>
            <w:tcW w:type="dxa" w:w="1008"/>
          </w:tcPr>
          <w:p>
            <w:r>
              <w:rPr>
                <w:sz w:val="18"/>
              </w:rPr>
            </w:r>
          </w:p>
        </w:tc>
        <w:tc>
          <w:tcPr>
            <w:tcW w:type="dxa" w:w="864"/>
          </w:tcPr>
          <w:p>
            <w:r>
              <w:rPr>
                <w:sz w:val="18"/>
              </w:rPr>
            </w:r>
          </w:p>
        </w:tc>
        <w:tc>
          <w:tcPr>
            <w:tcW w:type="dxa" w:w="2880"/>
          </w:tcPr>
          <w:p>
            <w:r>
              <w:rPr>
                <w:sz w:val="18"/>
              </w:rPr>
            </w:r>
          </w:p>
        </w:tc>
      </w:tr>
      <w:tr>
        <w:tc>
          <w:tcPr>
            <w:tcW w:type="dxa" w:w="4464"/>
          </w:tcPr>
          <w:p>
            <w:r>
              <w:rPr>
                <w:sz w:val="18"/>
              </w:rPr>
              <w:t>Have we asked what management would not be able to answer, and received a straight answer</w:t>
            </w:r>
          </w:p>
        </w:tc>
        <w:tc>
          <w:tcPr>
            <w:tcW w:type="dxa" w:w="864"/>
          </w:tcPr>
          <w:p>
            <w:r>
              <w:rPr>
                <w:sz w:val="18"/>
              </w:rPr>
            </w:r>
          </w:p>
        </w:tc>
        <w:tc>
          <w:tcPr>
            <w:tcW w:type="dxa" w:w="1008"/>
          </w:tcPr>
          <w:p>
            <w:r>
              <w:rPr>
                <w:sz w:val="18"/>
              </w:rPr>
            </w:r>
          </w:p>
        </w:tc>
        <w:tc>
          <w:tcPr>
            <w:tcW w:type="dxa" w:w="864"/>
          </w:tcPr>
          <w:p>
            <w:r>
              <w:rPr>
                <w:sz w:val="18"/>
              </w:rPr>
            </w:r>
          </w:p>
        </w:tc>
        <w:tc>
          <w:tcPr>
            <w:tcW w:type="dxa" w:w="2880"/>
          </w:tcPr>
          <w:p>
            <w:r>
              <w:rPr>
                <w:sz w:val="18"/>
              </w:rPr>
            </w:r>
          </w:p>
        </w:tc>
      </w:tr>
      <w:tr>
        <w:tc>
          <w:tcPr>
            <w:tcW w:type="dxa" w:w="4464"/>
          </w:tcPr>
          <w:p>
            <w:r>
              <w:rPr>
                <w:sz w:val="18"/>
              </w:rPr>
              <w:t>Would we find out about a serious incident from management or from a regulator</w:t>
            </w:r>
          </w:p>
        </w:tc>
        <w:tc>
          <w:tcPr>
            <w:tcW w:type="dxa" w:w="864"/>
          </w:tcPr>
          <w:p>
            <w:r>
              <w:rPr>
                <w:sz w:val="18"/>
              </w:rPr>
            </w:r>
          </w:p>
        </w:tc>
        <w:tc>
          <w:tcPr>
            <w:tcW w:type="dxa" w:w="1008"/>
          </w:tcPr>
          <w:p>
            <w:r>
              <w:rPr>
                <w:sz w:val="18"/>
              </w:rPr>
            </w:r>
          </w:p>
        </w:tc>
        <w:tc>
          <w:tcPr>
            <w:tcW w:type="dxa" w:w="864"/>
          </w:tcPr>
          <w:p>
            <w:r>
              <w:rPr>
                <w:sz w:val="18"/>
              </w:rPr>
            </w:r>
          </w:p>
        </w:tc>
        <w:tc>
          <w:tcPr>
            <w:tcW w:type="dxa" w:w="2880"/>
          </w:tcPr>
          <w:p>
            <w:r>
              <w:rPr>
                <w:sz w:val="18"/>
              </w:rPr>
            </w:r>
          </w:p>
        </w:tc>
      </w:tr>
    </w:tbl>
    <w:p/>
    <w:p>
      <w:pPr>
        <w:spacing w:before="220" w:after="80"/>
      </w:pPr>
      <w:r>
        <w:rPr>
          <w:b/>
          <w:color w:val="1A2A3A"/>
          <w:sz w:val="22"/>
        </w:rPr>
        <w:t>The five questions a director should put to a CIO</w:t>
      </w:r>
    </w:p>
    <w:p>
      <w:pPr>
        <w:pStyle w:val="ListNumber"/>
        <w:spacing w:after="60"/>
      </w:pPr>
      <w:r>
        <w:rPr>
          <w:sz w:val="21"/>
        </w:rPr>
        <w:t>Which of our agents could take an action we could not reverse, and who approved that</w:t>
      </w:r>
    </w:p>
    <w:p>
      <w:pPr>
        <w:pStyle w:val="ListNumber"/>
        <w:spacing w:after="60"/>
      </w:pPr>
      <w:r>
        <w:rPr>
          <w:sz w:val="21"/>
        </w:rPr>
        <w:t>What would have to be true for you to tell me we should stop a system, and has that ever happened</w:t>
      </w:r>
    </w:p>
    <w:p>
      <w:pPr>
        <w:pStyle w:val="ListNumber"/>
        <w:spacing w:after="60"/>
      </w:pPr>
      <w:r>
        <w:rPr>
          <w:sz w:val="21"/>
        </w:rPr>
        <w:t>Of the obligations that apply to us, which are live today and which have been deferred</w:t>
      </w:r>
    </w:p>
    <w:p>
      <w:pPr>
        <w:pStyle w:val="ListNumber"/>
        <w:spacing w:after="60"/>
      </w:pPr>
      <w:r>
        <w:rPr>
          <w:sz w:val="21"/>
        </w:rPr>
        <w:t>How long would it take to produce the evidence pack for our highest risk system, measured rather than estimated</w:t>
      </w:r>
    </w:p>
    <w:p>
      <w:pPr>
        <w:pStyle w:val="ListNumber"/>
        <w:spacing w:after="60"/>
      </w:pPr>
      <w:r>
        <w:rPr>
          <w:sz w:val="21"/>
        </w:rPr>
        <w:t>What is the one thing in this portfolio that keeps you awake, and what would resolving it cost</w:t>
      </w:r>
    </w:p>
    <w:tbl>
      <w:tblPr>
        <w:tblStyle w:val="TableGrid"/>
        <w:tblW w:type="auto" w:w="0"/>
        <w:tblLook w:firstColumn="1" w:firstRow="1" w:lastColumn="0" w:lastRow="0" w:noHBand="0" w:noVBand="1" w:val="04A0"/>
      </w:tblPr>
      <w:tblGrid>
        <w:gridCol w:w="9792"/>
      </w:tblGrid>
      <w:tr>
        <w:tc>
          <w:tcPr>
            <w:tcW w:type="dxa" w:w="9792"/>
            <w:shd w:val="clear" w:fill="EEF2F7"/>
          </w:tcPr>
          <w:p>
            <w:r>
              <w:rPr>
                <w:b/>
                <w:color w:val="1A2A3A"/>
                <w:sz w:val="20"/>
              </w:rPr>
              <w:t>On the last question</w:t>
            </w:r>
          </w:p>
          <w:p>
            <w:r>
              <w:rPr>
                <w:sz w:val="20"/>
              </w:rPr>
              <w:t>A CIO who answers the fifth question with a governance abstraction has not answered it. The answer should name a system, a date or a number. If it does not, the board has learned something anyway.</w:t>
            </w:r>
          </w:p>
        </w:tc>
      </w:tr>
    </w:tbl>
    <w:p/>
    <w:p>
      <w:pPr>
        <w:spacing w:before="320" w:after="120"/>
      </w:pPr>
      <w:r>
        <w:rPr>
          <w:b/>
          <w:color w:val="1A2A3A"/>
          <w:sz w:val="27"/>
        </w:rPr>
        <w:t>Basis and Limits</w:t>
      </w:r>
    </w:p>
    <w:p>
      <w:r>
        <w:rPr>
          <w:i/>
          <w:sz w:val="19"/>
        </w:rPr>
        <w:t>This instrument is a working template from the companion toolkit to When Agents Rule by Steven Oppenheim. It is blank by design: it provides the structure, the questions and the tests, and you provide the content. It is not an audit, a certification or a benchmark, and it is not legal, technical or financial advice. Board reporting obligations vary by jurisdiction and by sector, and any statement made to a board may carry legal consequence. Have counsel review the first use of this template. Every regulatory reference must be verified against the primary text, and dates in this area have moved once already. Free for internal use inside your own organization; see the usage policy for redistribution.</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