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Regulatory Evidence Pack Template</w:t>
      </w:r>
    </w:p>
    <w:p>
      <w:pPr>
        <w:jc w:val="center"/>
      </w:pPr>
      <w:r>
        <w:rPr>
          <w:i/>
          <w:color w:val="6B7785"/>
          <w:sz w:val="22"/>
        </w:rPr>
        <w:t>The documentation set to assemble before a regulator asks for it, mapped to Annex IV and to the questions a buyer now asks</w:t>
      </w:r>
    </w:p>
    <w:p>
      <w:pPr>
        <w:jc w:val="center"/>
      </w:pPr>
      <w:r>
        <w:rPr>
          <w:color w:val="6B7785"/>
          <w:sz w:val="17"/>
        </w:rPr>
        <w:t>Companion toolkit, September 2026  //  Method: When Agents Rule, Chapter 8  //  EU AI Act Articles 11, 12, 18 and Annex IV</w:t>
      </w:r>
    </w:p>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Why assemble it before you are asked</w:t>
            </w:r>
          </w:p>
          <w:p>
            <w:r>
              <w:rPr>
                <w:sz w:val="20"/>
              </w:rPr>
              <w:t>Published analysis of 2026 practice is consistent on one point: governance documentation must be continuously generated from operational systems rather than manually assembled before an audit. The reason is arithmetical. Article 73 gives you fifteen days from awareness to report a serious incident. An evidence pack assembled from scratch consumes most of that window, and the part it consumes is the part you needed for the investigation.</w:t>
            </w:r>
          </w:p>
        </w:tc>
      </w:tr>
    </w:tbl>
    <w:p/>
    <w:p>
      <w:pPr>
        <w:spacing w:before="320" w:after="120"/>
      </w:pPr>
      <w:r>
        <w:rPr>
          <w:b/>
          <w:color w:val="1A2A3A"/>
          <w:sz w:val="27"/>
        </w:rPr>
        <w:t>1. Pack Control Sheet</w:t>
      </w:r>
    </w:p>
    <w:p>
      <w:pPr>
        <w:spacing w:after="60"/>
      </w:pPr>
      <w:r>
        <w:rPr>
          <w:b/>
          <w:sz w:val="20"/>
        </w:rPr>
        <w:t xml:space="preserve">System name and identifier: </w:t>
      </w:r>
      <w:r>
        <w:rPr>
          <w:color w:val="6B7785"/>
          <w:sz w:val="20"/>
        </w:rPr>
        <w:t>[ to be completed ]</w:t>
      </w:r>
    </w:p>
    <w:p>
      <w:pPr>
        <w:spacing w:after="60"/>
      </w:pPr>
      <w:r>
        <w:rPr>
          <w:b/>
          <w:sz w:val="20"/>
        </w:rPr>
        <w:t xml:space="preserve">Classification and the article it rests on: </w:t>
      </w:r>
      <w:r>
        <w:rPr>
          <w:color w:val="6B7785"/>
          <w:sz w:val="20"/>
        </w:rPr>
        <w:t>[ to be completed ]</w:t>
      </w:r>
    </w:p>
    <w:p>
      <w:pPr>
        <w:spacing w:after="60"/>
      </w:pPr>
      <w:r>
        <w:rPr>
          <w:b/>
          <w:sz w:val="20"/>
        </w:rPr>
        <w:t xml:space="preserve">Pack owner and role: </w:t>
      </w:r>
      <w:r>
        <w:rPr>
          <w:color w:val="6B7785"/>
          <w:sz w:val="20"/>
        </w:rPr>
        <w:t>[ to be completed ]</w:t>
      </w:r>
    </w:p>
    <w:p>
      <w:pPr>
        <w:spacing w:after="60"/>
      </w:pPr>
      <w:r>
        <w:rPr>
          <w:b/>
          <w:sz w:val="20"/>
        </w:rPr>
        <w:t xml:space="preserve">Counsel who reviewed the classification, firm and date: </w:t>
      </w:r>
      <w:r>
        <w:rPr>
          <w:color w:val="6B7785"/>
          <w:sz w:val="20"/>
        </w:rPr>
        <w:t>[ to be completed ]</w:t>
      </w:r>
    </w:p>
    <w:p>
      <w:pPr>
        <w:spacing w:after="60"/>
      </w:pPr>
      <w:r>
        <w:rPr>
          <w:b/>
          <w:sz w:val="20"/>
        </w:rPr>
        <w:t xml:space="preserve">Pack assembled on: </w:t>
      </w:r>
      <w:r>
        <w:rPr>
          <w:color w:val="6B7785"/>
          <w:sz w:val="20"/>
        </w:rPr>
        <w:t>[ to be completed ]</w:t>
      </w:r>
    </w:p>
    <w:p>
      <w:pPr>
        <w:spacing w:after="60"/>
      </w:pPr>
      <w:r>
        <w:rPr>
          <w:b/>
          <w:sz w:val="20"/>
        </w:rPr>
        <w:t xml:space="preserve">Pack last verified on: </w:t>
      </w:r>
      <w:r>
        <w:rPr>
          <w:color w:val="6B7785"/>
          <w:sz w:val="20"/>
        </w:rPr>
        <w:t>[ to be completed ]</w:t>
      </w:r>
    </w:p>
    <w:p>
      <w:pPr>
        <w:spacing w:after="60"/>
      </w:pPr>
      <w:r>
        <w:rPr>
          <w:b/>
          <w:sz w:val="20"/>
        </w:rPr>
        <w:t xml:space="preserve">Where the authoritative copy lives: </w:t>
      </w:r>
      <w:r>
        <w:rPr>
          <w:color w:val="6B7785"/>
          <w:sz w:val="20"/>
        </w:rPr>
        <w:t>[ to be completed ]</w:t>
      </w:r>
    </w:p>
    <w:p>
      <w:pPr>
        <w:spacing w:after="60"/>
      </w:pPr>
      <w:r>
        <w:rPr>
          <w:b/>
          <w:sz w:val="20"/>
        </w:rPr>
        <w:t xml:space="preserve">Time to produce this pack on request: </w:t>
      </w:r>
      <w:r>
        <w:rPr>
          <w:color w:val="6B7785"/>
          <w:sz w:val="20"/>
        </w:rPr>
        <w:t>[ measured, not estimated ]</w:t>
      </w:r>
    </w:p>
    <w:p>
      <w:pPr>
        <w:spacing w:before="320" w:after="120"/>
      </w:pPr>
      <w:r>
        <w:rPr>
          <w:b/>
          <w:color w:val="1A2A3A"/>
          <w:sz w:val="27"/>
        </w:rPr>
        <w:t>2. The Annex IV Structure</w:t>
      </w:r>
    </w:p>
    <w:p>
      <w:r>
        <w:rPr>
          <w:i w:val="0"/>
          <w:sz w:val="21"/>
        </w:rPr>
        <w:t>Annex IV sets the technical documentation structure for a high risk system. Use it even where you have concluded your system is not high risk, because it is the structure a regulator and an enterprise buyer both recognise, and because the cost of using it is near zero once the sections exist.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160"/>
            <w:shd w:val="clear" w:fill="1A2A3A"/>
          </w:tcPr>
          <w:p>
            <w:r>
              <w:rPr>
                <w:b/>
                <w:color w:val="FFFFFF"/>
                <w:sz w:val="17"/>
              </w:rPr>
              <w:t>Section</w:t>
            </w:r>
          </w:p>
        </w:tc>
        <w:tc>
          <w:tcPr>
            <w:tcW w:type="dxa" w:w="4752"/>
            <w:shd w:val="clear" w:fill="1A2A3A"/>
          </w:tcPr>
          <w:p>
            <w:r>
              <w:rPr>
                <w:b/>
                <w:color w:val="FFFFFF"/>
                <w:sz w:val="17"/>
              </w:rPr>
              <w:t>What it must contain</w:t>
            </w:r>
          </w:p>
        </w:tc>
        <w:tc>
          <w:tcPr>
            <w:tcW w:type="dxa" w:w="2016"/>
            <w:shd w:val="clear" w:fill="1A2A3A"/>
          </w:tcPr>
          <w:p>
            <w:r>
              <w:rPr>
                <w:b/>
                <w:color w:val="FFFFFF"/>
                <w:sz w:val="17"/>
              </w:rPr>
              <w:t>Where yours lives</w:t>
            </w:r>
          </w:p>
        </w:tc>
        <w:tc>
          <w:tcPr>
            <w:tcW w:type="dxa" w:w="1152"/>
            <w:shd w:val="clear" w:fill="1A2A3A"/>
          </w:tcPr>
          <w:p>
            <w:r>
              <w:rPr>
                <w:b/>
                <w:color w:val="FFFFFF"/>
                <w:sz w:val="17"/>
              </w:rPr>
              <w:t>Current</w:t>
            </w:r>
          </w:p>
        </w:tc>
      </w:tr>
      <w:tr>
        <w:tc>
          <w:tcPr>
            <w:tcW w:type="dxa" w:w="2160"/>
          </w:tcPr>
          <w:p>
            <w:r>
              <w:rPr>
                <w:sz w:val="18"/>
              </w:rPr>
              <w:t>General description</w:t>
            </w:r>
          </w:p>
        </w:tc>
        <w:tc>
          <w:tcPr>
            <w:tcW w:type="dxa" w:w="4752"/>
          </w:tcPr>
          <w:p>
            <w:r>
              <w:rPr>
                <w:sz w:val="18"/>
              </w:rPr>
              <w:t>Intended purpose, provider, version, how the system interacts with hardware and software it is not part of</w:t>
            </w:r>
          </w:p>
        </w:tc>
        <w:tc>
          <w:tcPr>
            <w:tcW w:type="dxa" w:w="2016"/>
          </w:tcPr>
          <w:p>
            <w:r>
              <w:rPr>
                <w:sz w:val="18"/>
              </w:rPr>
            </w:r>
          </w:p>
        </w:tc>
        <w:tc>
          <w:tcPr>
            <w:tcW w:type="dxa" w:w="1152"/>
          </w:tcPr>
          <w:p>
            <w:r>
              <w:rPr>
                <w:sz w:val="18"/>
              </w:rPr>
            </w:r>
          </w:p>
        </w:tc>
      </w:tr>
      <w:tr>
        <w:tc>
          <w:tcPr>
            <w:tcW w:type="dxa" w:w="2160"/>
          </w:tcPr>
          <w:p>
            <w:r>
              <w:rPr>
                <w:sz w:val="18"/>
              </w:rPr>
              <w:t>Development process</w:t>
            </w:r>
          </w:p>
        </w:tc>
        <w:tc>
          <w:tcPr>
            <w:tcW w:type="dxa" w:w="4752"/>
          </w:tcPr>
          <w:p>
            <w:r>
              <w:rPr>
                <w:sz w:val="18"/>
              </w:rPr>
              <w:t>Design specifications, system architecture, computational resources used, data requirements</w:t>
            </w:r>
          </w:p>
        </w:tc>
        <w:tc>
          <w:tcPr>
            <w:tcW w:type="dxa" w:w="2016"/>
          </w:tcPr>
          <w:p>
            <w:r>
              <w:rPr>
                <w:sz w:val="18"/>
              </w:rPr>
            </w:r>
          </w:p>
        </w:tc>
        <w:tc>
          <w:tcPr>
            <w:tcW w:type="dxa" w:w="1152"/>
          </w:tcPr>
          <w:p>
            <w:r>
              <w:rPr>
                <w:sz w:val="18"/>
              </w:rPr>
            </w:r>
          </w:p>
        </w:tc>
      </w:tr>
      <w:tr>
        <w:tc>
          <w:tcPr>
            <w:tcW w:type="dxa" w:w="2160"/>
          </w:tcPr>
          <w:p>
            <w:r>
              <w:rPr>
                <w:sz w:val="18"/>
              </w:rPr>
              <w:t>Data and data governance</w:t>
            </w:r>
          </w:p>
        </w:tc>
        <w:tc>
          <w:tcPr>
            <w:tcW w:type="dxa" w:w="4752"/>
          </w:tcPr>
          <w:p>
            <w:r>
              <w:rPr>
                <w:sz w:val="18"/>
              </w:rPr>
              <w:t>Training, validation and testing datasets, provenance, labelling, cleaning, bias examination</w:t>
            </w:r>
          </w:p>
        </w:tc>
        <w:tc>
          <w:tcPr>
            <w:tcW w:type="dxa" w:w="2016"/>
          </w:tcPr>
          <w:p>
            <w:r>
              <w:rPr>
                <w:sz w:val="18"/>
              </w:rPr>
            </w:r>
          </w:p>
        </w:tc>
        <w:tc>
          <w:tcPr>
            <w:tcW w:type="dxa" w:w="1152"/>
          </w:tcPr>
          <w:p>
            <w:r>
              <w:rPr>
                <w:sz w:val="18"/>
              </w:rPr>
            </w:r>
          </w:p>
        </w:tc>
      </w:tr>
      <w:tr>
        <w:tc>
          <w:tcPr>
            <w:tcW w:type="dxa" w:w="2160"/>
          </w:tcPr>
          <w:p>
            <w:r>
              <w:rPr>
                <w:sz w:val="18"/>
              </w:rPr>
              <w:t>Monitoring and control</w:t>
            </w:r>
          </w:p>
        </w:tc>
        <w:tc>
          <w:tcPr>
            <w:tcW w:type="dxa" w:w="4752"/>
          </w:tcPr>
          <w:p>
            <w:r>
              <w:rPr>
                <w:sz w:val="18"/>
              </w:rPr>
              <w:t>Capabilities and limitations, foreseeable unintended outcomes, human oversight measures</w:t>
            </w:r>
          </w:p>
        </w:tc>
        <w:tc>
          <w:tcPr>
            <w:tcW w:type="dxa" w:w="2016"/>
          </w:tcPr>
          <w:p>
            <w:r>
              <w:rPr>
                <w:sz w:val="18"/>
              </w:rPr>
            </w:r>
          </w:p>
        </w:tc>
        <w:tc>
          <w:tcPr>
            <w:tcW w:type="dxa" w:w="1152"/>
          </w:tcPr>
          <w:p>
            <w:r>
              <w:rPr>
                <w:sz w:val="18"/>
              </w:rPr>
            </w:r>
          </w:p>
        </w:tc>
      </w:tr>
      <w:tr>
        <w:tc>
          <w:tcPr>
            <w:tcW w:type="dxa" w:w="2160"/>
          </w:tcPr>
          <w:p>
            <w:r>
              <w:rPr>
                <w:sz w:val="18"/>
              </w:rPr>
              <w:t>Performance metrics</w:t>
            </w:r>
          </w:p>
        </w:tc>
        <w:tc>
          <w:tcPr>
            <w:tcW w:type="dxa" w:w="4752"/>
          </w:tcPr>
          <w:p>
            <w:r>
              <w:rPr>
                <w:sz w:val="18"/>
              </w:rPr>
              <w:t>Accuracy metrics and the metrics used, including the robustness and cybersecurity measures</w:t>
            </w:r>
          </w:p>
        </w:tc>
        <w:tc>
          <w:tcPr>
            <w:tcW w:type="dxa" w:w="2016"/>
          </w:tcPr>
          <w:p>
            <w:r>
              <w:rPr>
                <w:sz w:val="18"/>
              </w:rPr>
            </w:r>
          </w:p>
        </w:tc>
        <w:tc>
          <w:tcPr>
            <w:tcW w:type="dxa" w:w="1152"/>
          </w:tcPr>
          <w:p>
            <w:r>
              <w:rPr>
                <w:sz w:val="18"/>
              </w:rPr>
            </w:r>
          </w:p>
        </w:tc>
      </w:tr>
      <w:tr>
        <w:tc>
          <w:tcPr>
            <w:tcW w:type="dxa" w:w="2160"/>
          </w:tcPr>
          <w:p>
            <w:r>
              <w:rPr>
                <w:sz w:val="18"/>
              </w:rPr>
              <w:t>Risk management</w:t>
            </w:r>
          </w:p>
        </w:tc>
        <w:tc>
          <w:tcPr>
            <w:tcW w:type="dxa" w:w="4752"/>
          </w:tcPr>
          <w:p>
            <w:r>
              <w:rPr>
                <w:sz w:val="18"/>
              </w:rPr>
              <w:t>The risk management system under Article 9 and the residual risks accepted</w:t>
            </w:r>
          </w:p>
        </w:tc>
        <w:tc>
          <w:tcPr>
            <w:tcW w:type="dxa" w:w="2016"/>
          </w:tcPr>
          <w:p>
            <w:r>
              <w:rPr>
                <w:sz w:val="18"/>
              </w:rPr>
            </w:r>
          </w:p>
        </w:tc>
        <w:tc>
          <w:tcPr>
            <w:tcW w:type="dxa" w:w="1152"/>
          </w:tcPr>
          <w:p>
            <w:r>
              <w:rPr>
                <w:sz w:val="18"/>
              </w:rPr>
            </w:r>
          </w:p>
        </w:tc>
      </w:tr>
      <w:tr>
        <w:tc>
          <w:tcPr>
            <w:tcW w:type="dxa" w:w="2160"/>
          </w:tcPr>
          <w:p>
            <w:r>
              <w:rPr>
                <w:sz w:val="18"/>
              </w:rPr>
              <w:t>Change documentation</w:t>
            </w:r>
          </w:p>
        </w:tc>
        <w:tc>
          <w:tcPr>
            <w:tcW w:type="dxa" w:w="4752"/>
          </w:tcPr>
          <w:p>
            <w:r>
              <w:rPr>
                <w:sz w:val="18"/>
              </w:rPr>
              <w:t>Changes made through the lifecycle, with version control</w:t>
            </w:r>
          </w:p>
        </w:tc>
        <w:tc>
          <w:tcPr>
            <w:tcW w:type="dxa" w:w="2016"/>
          </w:tcPr>
          <w:p>
            <w:r>
              <w:rPr>
                <w:sz w:val="18"/>
              </w:rPr>
            </w:r>
          </w:p>
        </w:tc>
        <w:tc>
          <w:tcPr>
            <w:tcW w:type="dxa" w:w="1152"/>
          </w:tcPr>
          <w:p>
            <w:r>
              <w:rPr>
                <w:sz w:val="18"/>
              </w:rPr>
            </w:r>
          </w:p>
        </w:tc>
      </w:tr>
      <w:tr>
        <w:tc>
          <w:tcPr>
            <w:tcW w:type="dxa" w:w="2160"/>
          </w:tcPr>
          <w:p>
            <w:r>
              <w:rPr>
                <w:sz w:val="18"/>
              </w:rPr>
              <w:t>Standards applied</w:t>
            </w:r>
          </w:p>
        </w:tc>
        <w:tc>
          <w:tcPr>
            <w:tcW w:type="dxa" w:w="4752"/>
          </w:tcPr>
          <w:p>
            <w:r>
              <w:rPr>
                <w:sz w:val="18"/>
              </w:rPr>
              <w:t>Harmonised standards applied, or the technical solutions adopted where none were</w:t>
            </w:r>
          </w:p>
        </w:tc>
        <w:tc>
          <w:tcPr>
            <w:tcW w:type="dxa" w:w="2016"/>
          </w:tcPr>
          <w:p>
            <w:r>
              <w:rPr>
                <w:sz w:val="18"/>
              </w:rPr>
            </w:r>
          </w:p>
        </w:tc>
        <w:tc>
          <w:tcPr>
            <w:tcW w:type="dxa" w:w="1152"/>
          </w:tcPr>
          <w:p>
            <w:r>
              <w:rPr>
                <w:sz w:val="18"/>
              </w:rPr>
            </w:r>
          </w:p>
        </w:tc>
      </w:tr>
      <w:tr>
        <w:tc>
          <w:tcPr>
            <w:tcW w:type="dxa" w:w="2160"/>
          </w:tcPr>
          <w:p>
            <w:r>
              <w:rPr>
                <w:sz w:val="18"/>
              </w:rPr>
              <w:t>Declaration of conformity</w:t>
            </w:r>
          </w:p>
        </w:tc>
        <w:tc>
          <w:tcPr>
            <w:tcW w:type="dxa" w:w="4752"/>
          </w:tcPr>
          <w:p>
            <w:r>
              <w:rPr>
                <w:sz w:val="18"/>
              </w:rPr>
              <w:t>The EU declaration of conformity, where applicable</w:t>
            </w:r>
          </w:p>
        </w:tc>
        <w:tc>
          <w:tcPr>
            <w:tcW w:type="dxa" w:w="2016"/>
          </w:tcPr>
          <w:p>
            <w:r>
              <w:rPr>
                <w:sz w:val="18"/>
              </w:rPr>
            </w:r>
          </w:p>
        </w:tc>
        <w:tc>
          <w:tcPr>
            <w:tcW w:type="dxa" w:w="1152"/>
          </w:tcPr>
          <w:p>
            <w:r>
              <w:rPr>
                <w:sz w:val="18"/>
              </w:rPr>
            </w:r>
          </w:p>
        </w:tc>
      </w:tr>
      <w:tr>
        <w:tc>
          <w:tcPr>
            <w:tcW w:type="dxa" w:w="2160"/>
          </w:tcPr>
          <w:p>
            <w:r>
              <w:rPr>
                <w:sz w:val="18"/>
              </w:rPr>
              <w:t>Post market monitoring plan</w:t>
            </w:r>
          </w:p>
        </w:tc>
        <w:tc>
          <w:tcPr>
            <w:tcW w:type="dxa" w:w="4752"/>
          </w:tcPr>
          <w:p>
            <w:r>
              <w:rPr>
                <w:sz w:val="18"/>
              </w:rPr>
              <w:t>The plan under Article 72, and the evidence it is operating</w:t>
            </w:r>
          </w:p>
        </w:tc>
        <w:tc>
          <w:tcPr>
            <w:tcW w:type="dxa" w:w="2016"/>
          </w:tcPr>
          <w:p>
            <w:r>
              <w:rPr>
                <w:sz w:val="18"/>
              </w:rPr>
            </w:r>
          </w:p>
        </w:tc>
        <w:tc>
          <w:tcPr>
            <w:tcW w:type="dxa" w:w="1152"/>
          </w:tcPr>
          <w:p>
            <w:r>
              <w:rPr>
                <w:sz w:val="18"/>
              </w:rPr>
            </w:r>
          </w:p>
        </w:tc>
      </w:tr>
    </w:tbl>
    <w:p/>
    <w:p>
      <w:pPr>
        <w:spacing w:before="320" w:after="120"/>
      </w:pPr>
      <w:r>
        <w:rPr>
          <w:b/>
          <w:color w:val="1A2A3A"/>
          <w:sz w:val="27"/>
        </w:rPr>
        <w:t>3. The Records Behind the Documentation</w:t>
      </w:r>
    </w:p>
    <w:p>
      <w:r>
        <w:rPr>
          <w:i w:val="0"/>
          <w:sz w:val="21"/>
        </w:rPr>
        <w:t>Documentation describes; records prove. A pack that contains only the first will not survive a request for the second.</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3168"/>
            <w:shd w:val="clear" w:fill="1A2A3A"/>
          </w:tcPr>
          <w:p>
            <w:r>
              <w:rPr>
                <w:b/>
                <w:color w:val="FFFFFF"/>
                <w:sz w:val="17"/>
              </w:rPr>
              <w:t>Record</w:t>
            </w:r>
          </w:p>
        </w:tc>
        <w:tc>
          <w:tcPr>
            <w:tcW w:type="dxa" w:w="1872"/>
            <w:shd w:val="clear" w:fill="1A2A3A"/>
          </w:tcPr>
          <w:p>
            <w:r>
              <w:rPr>
                <w:b/>
                <w:color w:val="FFFFFF"/>
                <w:sz w:val="17"/>
              </w:rPr>
              <w:t>Article or standard</w:t>
            </w:r>
          </w:p>
        </w:tc>
        <w:tc>
          <w:tcPr>
            <w:tcW w:type="dxa" w:w="3456"/>
            <w:shd w:val="clear" w:fill="1A2A3A"/>
          </w:tcPr>
          <w:p>
            <w:r>
              <w:rPr>
                <w:b/>
                <w:color w:val="FFFFFF"/>
                <w:sz w:val="17"/>
              </w:rPr>
              <w:t>Instrument that produces it</w:t>
            </w:r>
          </w:p>
        </w:tc>
        <w:tc>
          <w:tcPr>
            <w:tcW w:type="dxa" w:w="1008"/>
            <w:shd w:val="clear" w:fill="1A2A3A"/>
          </w:tcPr>
          <w:p>
            <w:r>
              <w:rPr>
                <w:b/>
                <w:color w:val="FFFFFF"/>
                <w:sz w:val="17"/>
              </w:rPr>
              <w:t>On file</w:t>
            </w:r>
          </w:p>
        </w:tc>
      </w:tr>
      <w:tr>
        <w:tc>
          <w:tcPr>
            <w:tcW w:type="dxa" w:w="3168"/>
          </w:tcPr>
          <w:p>
            <w:r>
              <w:rPr>
                <w:sz w:val="18"/>
              </w:rPr>
              <w:t>System inventory entry with autonomy and identity tier</w:t>
            </w:r>
          </w:p>
        </w:tc>
        <w:tc>
          <w:tcPr>
            <w:tcW w:type="dxa" w:w="1872"/>
          </w:tcPr>
          <w:p>
            <w:r>
              <w:rPr>
                <w:sz w:val="18"/>
              </w:rPr>
              <w:t>Art 11, Art 49</w:t>
            </w:r>
          </w:p>
        </w:tc>
        <w:tc>
          <w:tcPr>
            <w:tcW w:type="dxa" w:w="3456"/>
          </w:tcPr>
          <w:p>
            <w:r>
              <w:rPr>
                <w:sz w:val="18"/>
              </w:rPr>
              <w:t>Agent Inventory Workbook</w:t>
            </w:r>
          </w:p>
        </w:tc>
        <w:tc>
          <w:tcPr>
            <w:tcW w:type="dxa" w:w="1008"/>
          </w:tcPr>
          <w:p>
            <w:r>
              <w:rPr>
                <w:sz w:val="18"/>
              </w:rPr>
            </w:r>
          </w:p>
        </w:tc>
      </w:tr>
      <w:tr>
        <w:tc>
          <w:tcPr>
            <w:tcW w:type="dxa" w:w="3168"/>
          </w:tcPr>
          <w:p>
            <w:r>
              <w:rPr>
                <w:sz w:val="18"/>
              </w:rPr>
              <w:t>Automatic event logs over the system lifetime</w:t>
            </w:r>
          </w:p>
        </w:tc>
        <w:tc>
          <w:tcPr>
            <w:tcW w:type="dxa" w:w="1872"/>
          </w:tcPr>
          <w:p>
            <w:r>
              <w:rPr>
                <w:sz w:val="18"/>
              </w:rPr>
              <w:t>Art 12</w:t>
            </w:r>
          </w:p>
        </w:tc>
        <w:tc>
          <w:tcPr>
            <w:tcW w:type="dxa" w:w="3456"/>
          </w:tcPr>
          <w:p>
            <w:r>
              <w:rPr>
                <w:sz w:val="18"/>
              </w:rPr>
              <w:t>Agent Decision Log and Identity Register</w:t>
            </w:r>
          </w:p>
        </w:tc>
        <w:tc>
          <w:tcPr>
            <w:tcW w:type="dxa" w:w="1008"/>
          </w:tcPr>
          <w:p>
            <w:r>
              <w:rPr>
                <w:sz w:val="18"/>
              </w:rPr>
            </w:r>
          </w:p>
        </w:tc>
      </w:tr>
      <w:tr>
        <w:tc>
          <w:tcPr>
            <w:tcW w:type="dxa" w:w="3168"/>
          </w:tcPr>
          <w:p>
            <w:r>
              <w:rPr>
                <w:sz w:val="18"/>
              </w:rPr>
              <w:t>Article 6(3) filter assessment, if claimed, documented before placing on market</w:t>
            </w:r>
          </w:p>
        </w:tc>
        <w:tc>
          <w:tcPr>
            <w:tcW w:type="dxa" w:w="1872"/>
          </w:tcPr>
          <w:p>
            <w:r>
              <w:rPr>
                <w:sz w:val="18"/>
              </w:rPr>
              <w:t>Art 6(4)</w:t>
            </w:r>
          </w:p>
        </w:tc>
        <w:tc>
          <w:tcPr>
            <w:tcW w:type="dxa" w:w="3456"/>
          </w:tcPr>
          <w:p>
            <w:r>
              <w:rPr>
                <w:sz w:val="18"/>
              </w:rPr>
              <w:t>EU AI Act Deadline Checker output plus counsel opinion</w:t>
            </w:r>
          </w:p>
        </w:tc>
        <w:tc>
          <w:tcPr>
            <w:tcW w:type="dxa" w:w="1008"/>
          </w:tcPr>
          <w:p>
            <w:r>
              <w:rPr>
                <w:sz w:val="18"/>
              </w:rPr>
            </w:r>
          </w:p>
        </w:tc>
      </w:tr>
      <w:tr>
        <w:tc>
          <w:tcPr>
            <w:tcW w:type="dxa" w:w="3168"/>
          </w:tcPr>
          <w:p>
            <w:r>
              <w:rPr>
                <w:sz w:val="18"/>
              </w:rPr>
              <w:t>EU database registration reference</w:t>
            </w:r>
          </w:p>
        </w:tc>
        <w:tc>
          <w:tcPr>
            <w:tcW w:type="dxa" w:w="1872"/>
          </w:tcPr>
          <w:p>
            <w:r>
              <w:rPr>
                <w:sz w:val="18"/>
              </w:rPr>
              <w:t>Art 49</w:t>
            </w:r>
          </w:p>
        </w:tc>
        <w:tc>
          <w:tcPr>
            <w:tcW w:type="dxa" w:w="3456"/>
          </w:tcPr>
          <w:p>
            <w:r>
              <w:rPr>
                <w:sz w:val="18"/>
              </w:rPr>
              <w:t>Regulatory Obligation Register</w:t>
            </w:r>
          </w:p>
        </w:tc>
        <w:tc>
          <w:tcPr>
            <w:tcW w:type="dxa" w:w="1008"/>
          </w:tcPr>
          <w:p>
            <w:r>
              <w:rPr>
                <w:sz w:val="18"/>
              </w:rPr>
            </w:r>
          </w:p>
        </w:tc>
      </w:tr>
      <w:tr>
        <w:tc>
          <w:tcPr>
            <w:tcW w:type="dxa" w:w="3168"/>
          </w:tcPr>
          <w:p>
            <w:r>
              <w:rPr>
                <w:sz w:val="18"/>
              </w:rPr>
              <w:t>Human oversight design and degradation reviews</w:t>
            </w:r>
          </w:p>
        </w:tc>
        <w:tc>
          <w:tcPr>
            <w:tcW w:type="dxa" w:w="1872"/>
          </w:tcPr>
          <w:p>
            <w:r>
              <w:rPr>
                <w:sz w:val="18"/>
              </w:rPr>
              <w:t>Art 14</w:t>
            </w:r>
          </w:p>
        </w:tc>
        <w:tc>
          <w:tcPr>
            <w:tcW w:type="dxa" w:w="3456"/>
          </w:tcPr>
          <w:p>
            <w:r>
              <w:rPr>
                <w:sz w:val="18"/>
              </w:rPr>
              <w:t>Human Oversight Design Template</w:t>
            </w:r>
          </w:p>
        </w:tc>
        <w:tc>
          <w:tcPr>
            <w:tcW w:type="dxa" w:w="1008"/>
          </w:tcPr>
          <w:p>
            <w:r>
              <w:rPr>
                <w:sz w:val="18"/>
              </w:rPr>
            </w:r>
          </w:p>
        </w:tc>
      </w:tr>
      <w:tr>
        <w:tc>
          <w:tcPr>
            <w:tcW w:type="dxa" w:w="3168"/>
          </w:tcPr>
          <w:p>
            <w:r>
              <w:rPr>
                <w:sz w:val="18"/>
              </w:rPr>
              <w:t>Reliability contract and error budget position</w:t>
            </w:r>
          </w:p>
        </w:tc>
        <w:tc>
          <w:tcPr>
            <w:tcW w:type="dxa" w:w="1872"/>
          </w:tcPr>
          <w:p>
            <w:r>
              <w:rPr>
                <w:sz w:val="18"/>
              </w:rPr>
              <w:t>Art 15</w:t>
            </w:r>
          </w:p>
        </w:tc>
        <w:tc>
          <w:tcPr>
            <w:tcW w:type="dxa" w:w="3456"/>
          </w:tcPr>
          <w:p>
            <w:r>
              <w:rPr>
                <w:sz w:val="18"/>
              </w:rPr>
              <w:t>Agent Reliability Contract</w:t>
            </w:r>
          </w:p>
        </w:tc>
        <w:tc>
          <w:tcPr>
            <w:tcW w:type="dxa" w:w="1008"/>
          </w:tcPr>
          <w:p>
            <w:r>
              <w:rPr>
                <w:sz w:val="18"/>
              </w:rPr>
            </w:r>
          </w:p>
        </w:tc>
      </w:tr>
      <w:tr>
        <w:tc>
          <w:tcPr>
            <w:tcW w:type="dxa" w:w="3168"/>
          </w:tcPr>
          <w:p>
            <w:r>
              <w:rPr>
                <w:sz w:val="18"/>
              </w:rPr>
              <w:t>Instructions for use provided to deployers</w:t>
            </w:r>
          </w:p>
        </w:tc>
        <w:tc>
          <w:tcPr>
            <w:tcW w:type="dxa" w:w="1872"/>
          </w:tcPr>
          <w:p>
            <w:r>
              <w:rPr>
                <w:sz w:val="18"/>
              </w:rPr>
              <w:t>Art 13</w:t>
            </w:r>
          </w:p>
        </w:tc>
        <w:tc>
          <w:tcPr>
            <w:tcW w:type="dxa" w:w="3456"/>
          </w:tcPr>
          <w:p>
            <w:r>
              <w:rPr>
                <w:sz w:val="18"/>
              </w:rPr>
              <w:t>Your own product documentation</w:t>
            </w:r>
          </w:p>
        </w:tc>
        <w:tc>
          <w:tcPr>
            <w:tcW w:type="dxa" w:w="1008"/>
          </w:tcPr>
          <w:p>
            <w:r>
              <w:rPr>
                <w:sz w:val="18"/>
              </w:rPr>
            </w:r>
          </w:p>
        </w:tc>
      </w:tr>
      <w:tr>
        <w:tc>
          <w:tcPr>
            <w:tcW w:type="dxa" w:w="3168"/>
          </w:tcPr>
          <w:p>
            <w:r>
              <w:rPr>
                <w:sz w:val="18"/>
              </w:rPr>
              <w:t>Serious incident reports filed and their timelines</w:t>
            </w:r>
          </w:p>
        </w:tc>
        <w:tc>
          <w:tcPr>
            <w:tcW w:type="dxa" w:w="1872"/>
          </w:tcPr>
          <w:p>
            <w:r>
              <w:rPr>
                <w:sz w:val="18"/>
              </w:rPr>
              <w:t>Art 73</w:t>
            </w:r>
          </w:p>
        </w:tc>
        <w:tc>
          <w:tcPr>
            <w:tcW w:type="dxa" w:w="3456"/>
          </w:tcPr>
          <w:p>
            <w:r>
              <w:rPr>
                <w:sz w:val="18"/>
              </w:rPr>
              <w:t>Serious Incident and Post Market Monitoring Runbook</w:t>
            </w:r>
          </w:p>
        </w:tc>
        <w:tc>
          <w:tcPr>
            <w:tcW w:type="dxa" w:w="1008"/>
          </w:tcPr>
          <w:p>
            <w:r>
              <w:rPr>
                <w:sz w:val="18"/>
              </w:rPr>
            </w:r>
          </w:p>
        </w:tc>
      </w:tr>
      <w:tr>
        <w:tc>
          <w:tcPr>
            <w:tcW w:type="dxa" w:w="3168"/>
          </w:tcPr>
          <w:p>
            <w:r>
              <w:rPr>
                <w:sz w:val="18"/>
              </w:rPr>
              <w:t>Post market monitoring output</w:t>
            </w:r>
          </w:p>
        </w:tc>
        <w:tc>
          <w:tcPr>
            <w:tcW w:type="dxa" w:w="1872"/>
          </w:tcPr>
          <w:p>
            <w:r>
              <w:rPr>
                <w:sz w:val="18"/>
              </w:rPr>
              <w:t>Art 72</w:t>
            </w:r>
          </w:p>
        </w:tc>
        <w:tc>
          <w:tcPr>
            <w:tcW w:type="dxa" w:w="3456"/>
          </w:tcPr>
          <w:p>
            <w:r>
              <w:rPr>
                <w:sz w:val="18"/>
              </w:rPr>
              <w:t>Serious Incident and Post Market Monitoring Runbook</w:t>
            </w:r>
          </w:p>
        </w:tc>
        <w:tc>
          <w:tcPr>
            <w:tcW w:type="dxa" w:w="1008"/>
          </w:tcPr>
          <w:p>
            <w:r>
              <w:rPr>
                <w:sz w:val="18"/>
              </w:rPr>
            </w:r>
          </w:p>
        </w:tc>
      </w:tr>
      <w:tr>
        <w:tc>
          <w:tcPr>
            <w:tcW w:type="dxa" w:w="3168"/>
          </w:tcPr>
          <w:p>
            <w:r>
              <w:rPr>
                <w:sz w:val="18"/>
              </w:rPr>
              <w:t>Supplier and component inventory</w:t>
            </w:r>
          </w:p>
        </w:tc>
        <w:tc>
          <w:tcPr>
            <w:tcW w:type="dxa" w:w="1872"/>
          </w:tcPr>
          <w:p>
            <w:r>
              <w:rPr>
                <w:sz w:val="18"/>
              </w:rPr>
              <w:t>Art 25, Art 53</w:t>
            </w:r>
          </w:p>
        </w:tc>
        <w:tc>
          <w:tcPr>
            <w:tcW w:type="dxa" w:w="3456"/>
          </w:tcPr>
          <w:p>
            <w:r>
              <w:rPr>
                <w:sz w:val="18"/>
              </w:rPr>
              <w:t>AIBOM Readiness Checklist</w:t>
            </w:r>
          </w:p>
        </w:tc>
        <w:tc>
          <w:tcPr>
            <w:tcW w:type="dxa" w:w="1008"/>
          </w:tcPr>
          <w:p>
            <w:r>
              <w:rPr>
                <w:sz w:val="18"/>
              </w:rPr>
            </w:r>
          </w:p>
        </w:tc>
      </w:tr>
      <w:tr>
        <w:tc>
          <w:tcPr>
            <w:tcW w:type="dxa" w:w="3168"/>
          </w:tcPr>
          <w:p>
            <w:r>
              <w:rPr>
                <w:sz w:val="18"/>
              </w:rPr>
              <w:t>Cryptographic protection position</w:t>
            </w:r>
          </w:p>
        </w:tc>
        <w:tc>
          <w:tcPr>
            <w:tcW w:type="dxa" w:w="1872"/>
          </w:tcPr>
          <w:p>
            <w:r>
              <w:rPr>
                <w:sz w:val="18"/>
              </w:rPr>
              <w:t>Art 15</w:t>
            </w:r>
          </w:p>
        </w:tc>
        <w:tc>
          <w:tcPr>
            <w:tcW w:type="dxa" w:w="3456"/>
          </w:tcPr>
          <w:p>
            <w:r>
              <w:rPr>
                <w:sz w:val="18"/>
              </w:rPr>
              <w:t>Cryptographic Census and CBOM Readiness</w:t>
            </w:r>
          </w:p>
        </w:tc>
        <w:tc>
          <w:tcPr>
            <w:tcW w:type="dxa" w:w="1008"/>
          </w:tcPr>
          <w:p>
            <w:r>
              <w:rPr>
                <w:sz w:val="18"/>
              </w:rPr>
            </w:r>
          </w:p>
        </w:tc>
      </w:tr>
      <w:tr>
        <w:tc>
          <w:tcPr>
            <w:tcW w:type="dxa" w:w="3168"/>
          </w:tcPr>
          <w:p>
            <w:r>
              <w:rPr>
                <w:sz w:val="18"/>
              </w:rPr>
              <w:t>Framework mapping for buyer questionnaires</w:t>
            </w:r>
          </w:p>
        </w:tc>
        <w:tc>
          <w:tcPr>
            <w:tcW w:type="dxa" w:w="1872"/>
          </w:tcPr>
          <w:p>
            <w:r>
              <w:rPr>
                <w:sz w:val="18"/>
              </w:rPr>
              <w:t>NIST AI RMF, ISO 42001</w:t>
            </w:r>
          </w:p>
        </w:tc>
        <w:tc>
          <w:tcPr>
            <w:tcW w:type="dxa" w:w="3456"/>
          </w:tcPr>
          <w:p>
            <w:r>
              <w:rPr>
                <w:sz w:val="18"/>
              </w:rPr>
              <w:t>Framework Crosswalk</w:t>
            </w:r>
          </w:p>
        </w:tc>
        <w:tc>
          <w:tcPr>
            <w:tcW w:type="dxa" w:w="1008"/>
          </w:tcPr>
          <w:p>
            <w:r>
              <w:rPr>
                <w:sz w:val="18"/>
              </w:rPr>
            </w:r>
          </w:p>
        </w:tc>
      </w:tr>
    </w:tbl>
    <w:p/>
    <w:p>
      <w:pPr>
        <w:spacing w:before="320" w:after="120"/>
      </w:pPr>
      <w:r>
        <w:rPr>
          <w:b/>
          <w:color w:val="1A2A3A"/>
          <w:sz w:val="27"/>
        </w:rPr>
        <w:t>4. The One Day Test</w:t>
      </w:r>
    </w:p>
    <w:p>
      <w:r>
        <w:rPr>
          <w:i w:val="0"/>
          <w:sz w:val="21"/>
        </w:rPr>
        <w:t>The pack is ready when it passes this test, and not before. Run it with someone who did not assemble the pack.</w:t>
      </w:r>
    </w:p>
    <w:p>
      <w:pPr>
        <w:pStyle w:val="ListNumber"/>
        <w:spacing w:after="60"/>
      </w:pPr>
      <w:r>
        <w:rPr>
          <w:sz w:val="21"/>
        </w:rPr>
        <w:t>Ask for the pack. Start a clock. Record the elapsed time to a complete pack, not to a first response.</w:t>
      </w:r>
    </w:p>
    <w:p>
      <w:pPr>
        <w:pStyle w:val="ListNumber"/>
        <w:spacing w:after="60"/>
      </w:pPr>
      <w:r>
        <w:rPr>
          <w:sz w:val="21"/>
        </w:rPr>
        <w:t>Pick one decision the system made last month at random. Ask for the full record of it: inputs, retrieved context, tools invoked, human checkpoint, reversal status.</w:t>
      </w:r>
    </w:p>
    <w:p>
      <w:pPr>
        <w:pStyle w:val="ListNumber"/>
        <w:spacing w:after="60"/>
      </w:pPr>
      <w:r>
        <w:rPr>
          <w:sz w:val="21"/>
        </w:rPr>
        <w:t>Ask who authorised the credentials the system holds, and on what date.</w:t>
      </w:r>
    </w:p>
    <w:p>
      <w:pPr>
        <w:pStyle w:val="ListNumber"/>
        <w:spacing w:after="60"/>
      </w:pPr>
      <w:r>
        <w:rPr>
          <w:sz w:val="21"/>
        </w:rPr>
        <w:t>Ask which obligations applying to this system are in force today, and which are deferred.</w:t>
      </w:r>
    </w:p>
    <w:p>
      <w:pPr>
        <w:pStyle w:val="ListNumber"/>
        <w:spacing w:after="60"/>
      </w:pPr>
      <w:r>
        <w:rPr>
          <w:sz w:val="21"/>
        </w:rPr>
        <w:t>Ask what the system's error budget position was last quarter and whether any threshold was crossed without consequence.</w:t>
      </w:r>
    </w:p>
    <w:p>
      <w:pPr>
        <w:pStyle w:val="ListNumber"/>
        <w:spacing w:after="60"/>
      </w:pPr>
      <w:r>
        <w:rPr>
          <w:sz w:val="21"/>
        </w:rPr>
        <w:t>If any of the five takes more than one working day, the pack is a filing structure and not an evidence pack. Record which one failed and fix that before adding anything new.</w:t>
      </w:r>
    </w:p>
    <w:p>
      <w:pPr>
        <w:spacing w:after="60"/>
      </w:pPr>
      <w:r>
        <w:rPr>
          <w:b/>
          <w:sz w:val="20"/>
        </w:rPr>
        <w:t xml:space="preserve">Test run on: </w:t>
      </w:r>
      <w:r>
        <w:rPr>
          <w:color w:val="6B7785"/>
          <w:sz w:val="20"/>
        </w:rPr>
        <w:t>[ to be completed ]</w:t>
      </w:r>
    </w:p>
    <w:p>
      <w:pPr>
        <w:spacing w:after="60"/>
      </w:pPr>
      <w:r>
        <w:rPr>
          <w:b/>
          <w:sz w:val="20"/>
        </w:rPr>
        <w:t xml:space="preserve">Tested by: </w:t>
      </w:r>
      <w:r>
        <w:rPr>
          <w:color w:val="6B7785"/>
          <w:sz w:val="20"/>
        </w:rPr>
        <w:t>[ to be completed ]</w:t>
      </w:r>
    </w:p>
    <w:p>
      <w:pPr>
        <w:spacing w:after="60"/>
      </w:pPr>
      <w:r>
        <w:rPr>
          <w:b/>
          <w:sz w:val="20"/>
        </w:rPr>
        <w:t xml:space="preserve">Elapsed time to complete pack: </w:t>
      </w:r>
      <w:r>
        <w:rPr>
          <w:color w:val="6B7785"/>
          <w:sz w:val="20"/>
        </w:rPr>
        <w:t>[ to be completed ]</w:t>
      </w:r>
    </w:p>
    <w:p>
      <w:pPr>
        <w:spacing w:after="60"/>
      </w:pPr>
      <w:r>
        <w:rPr>
          <w:b/>
          <w:sz w:val="20"/>
        </w:rPr>
        <w:t xml:space="preserve">Which of the five failed: </w:t>
      </w:r>
      <w:r>
        <w:rPr>
          <w:color w:val="6B7785"/>
          <w:sz w:val="20"/>
        </w:rPr>
        <w:t>[ to be completed ]</w:t>
      </w:r>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Annex IV content requirements and the Article 6 classification are legal determinations for qualified counsel. This template organises evidence; it does not establish compliance.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