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A227"/>
          <w:sz w:val="18"/>
        </w:rPr>
        <w:t>WHEN AGENTS RULE  //  COMPANION TOOLKIT</w:t>
      </w:r>
    </w:p>
    <w:p>
      <w:pPr>
        <w:jc w:val="center"/>
      </w:pPr>
      <w:r>
        <w:rPr>
          <w:b/>
          <w:color w:val="1A2A3A"/>
          <w:sz w:val="42"/>
        </w:rPr>
        <w:t>Serious Incident and Post Market Monitoring Runbook</w:t>
      </w:r>
    </w:p>
    <w:p>
      <w:pPr>
        <w:jc w:val="center"/>
      </w:pPr>
      <w:r>
        <w:rPr>
          <w:i/>
          <w:color w:val="6B7785"/>
          <w:sz w:val="22"/>
        </w:rPr>
        <w:t>The fifteen day clock under Article 73, and the monitoring plan under Article 72 that is supposed to detect the incident first</w:t>
      </w:r>
    </w:p>
    <w:p>
      <w:pPr>
        <w:jc w:val="center"/>
      </w:pPr>
      <w:r>
        <w:rPr>
          <w:color w:val="6B7785"/>
          <w:sz w:val="17"/>
        </w:rPr>
        <w:t>Companion toolkit, September 2026  //  NEW instrument  //  EU AI Act Articles 72 and 73</w:t>
      </w:r>
    </w:p>
    <w:p/>
    <w:tbl>
      <w:tblPr>
        <w:tblStyle w:val="TableGrid"/>
        <w:tblW w:type="auto" w:w="0"/>
        <w:tblLook w:firstColumn="1" w:firstRow="1" w:lastColumn="0" w:lastRow="0" w:noHBand="0" w:noVBand="1" w:val="04A0"/>
      </w:tblPr>
      <w:tblGrid>
        <w:gridCol w:w="9792"/>
      </w:tblGrid>
      <w:tr>
        <w:tc>
          <w:tcPr>
            <w:tcW w:type="dxa" w:w="9792"/>
            <w:shd w:val="clear" w:fill="FADBD8"/>
          </w:tcPr>
          <w:p>
            <w:r>
              <w:rPr>
                <w:b/>
                <w:color w:val="1A2A3A"/>
                <w:sz w:val="20"/>
              </w:rPr>
              <w:t>Why this instrument was added</w:t>
            </w:r>
          </w:p>
          <w:p>
            <w:r>
              <w:rPr>
                <w:sz w:val="20"/>
              </w:rPr>
              <w:t>It is not one of the original nine. It was added after the September 2026 industry scan because Articles 72 and 73 carry a hard clock that no other instrument in the toolkit addresses: a serious incident must be reported within fifteen days of awareness, and sooner where fundamental rights are affected. Fifteen days is not long enough to design a process. It is barely long enough to run one.</w:t>
            </w:r>
          </w:p>
        </w:tc>
      </w:tr>
    </w:tbl>
    <w:p/>
    <w:p>
      <w:r>
        <w:rPr>
          <w:i/>
          <w:sz w:val="21"/>
        </w:rPr>
        <w:t>Note on timing: the high risk obligations these articles sit within were deferred to 2 December 2027 for Annex III systems and 2 August 2028 for Annex I. That is the reason to build the runbook now rather than the reason not to. The deferral is the window in which this can be built calmly.</w:t>
      </w:r>
    </w:p>
    <w:p>
      <w:pPr>
        <w:spacing w:before="320" w:after="120"/>
      </w:pPr>
      <w:r>
        <w:rPr>
          <w:b/>
          <w:color w:val="1A2A3A"/>
          <w:sz w:val="27"/>
        </w:rPr>
        <w:t>1. What Counts as a Serious Incident</w:t>
      </w:r>
    </w:p>
    <w:p>
      <w:r>
        <w:rPr>
          <w:i w:val="0"/>
          <w:sz w:val="21"/>
        </w:rPr>
        <w:t>Establish the definition before you need it, and write down the borderline cases you considered. The argument you will have during an incident is not whether to report but whether this is reportable, and that argument consumes the clock.</w:t>
      </w:r>
    </w:p>
    <w:tbl>
      <w:tblPr>
        <w:tblStyle w:val="TableGrid"/>
        <w:tblW w:type="auto" w:w="0"/>
        <w:jc w:val="center"/>
        <w:tblLook w:firstColumn="1" w:firstRow="1" w:lastColumn="0" w:lastRow="0" w:noHBand="0" w:noVBand="1" w:val="04A0"/>
      </w:tblPr>
      <w:tblGrid>
        <w:gridCol w:w="3264"/>
        <w:gridCol w:w="3264"/>
        <w:gridCol w:w="3264"/>
      </w:tblGrid>
      <w:tr>
        <w:tc>
          <w:tcPr>
            <w:tcW w:type="dxa" w:w="2880"/>
            <w:shd w:val="clear" w:fill="1A2A3A"/>
          </w:tcPr>
          <w:p>
            <w:r>
              <w:rPr>
                <w:b/>
                <w:color w:val="FFFFFF"/>
                <w:sz w:val="17"/>
              </w:rPr>
              <w:t>Category</w:t>
            </w:r>
          </w:p>
        </w:tc>
        <w:tc>
          <w:tcPr>
            <w:tcW w:type="dxa" w:w="4896"/>
            <w:shd w:val="clear" w:fill="1A2A3A"/>
          </w:tcPr>
          <w:p>
            <w:r>
              <w:rPr>
                <w:b/>
                <w:color w:val="FFFFFF"/>
                <w:sz w:val="17"/>
              </w:rPr>
              <w:t>Include</w:t>
            </w:r>
          </w:p>
        </w:tc>
        <w:tc>
          <w:tcPr>
            <w:tcW w:type="dxa" w:w="2304"/>
            <w:shd w:val="clear" w:fill="1A2A3A"/>
          </w:tcPr>
          <w:p>
            <w:r>
              <w:rPr>
                <w:b/>
                <w:color w:val="FFFFFF"/>
                <w:sz w:val="17"/>
              </w:rPr>
              <w:t>Your threshold</w:t>
            </w:r>
          </w:p>
        </w:tc>
      </w:tr>
      <w:tr>
        <w:tc>
          <w:tcPr>
            <w:tcW w:type="dxa" w:w="2880"/>
          </w:tcPr>
          <w:p>
            <w:r>
              <w:rPr>
                <w:sz w:val="18"/>
              </w:rPr>
              <w:t>Death or serious harm to health</w:t>
            </w:r>
          </w:p>
        </w:tc>
        <w:tc>
          <w:tcPr>
            <w:tcW w:type="dxa" w:w="4896"/>
          </w:tcPr>
          <w:p>
            <w:r>
              <w:rPr>
                <w:sz w:val="18"/>
              </w:rPr>
              <w:t>Any agent action contributing to it, whether or not the agent was the proximate cause</w:t>
            </w:r>
          </w:p>
        </w:tc>
        <w:tc>
          <w:tcPr>
            <w:tcW w:type="dxa" w:w="2304"/>
          </w:tcPr>
          <w:p>
            <w:r>
              <w:rPr>
                <w:sz w:val="18"/>
              </w:rPr>
            </w:r>
          </w:p>
        </w:tc>
      </w:tr>
      <w:tr>
        <w:tc>
          <w:tcPr>
            <w:tcW w:type="dxa" w:w="2880"/>
          </w:tcPr>
          <w:p>
            <w:r>
              <w:rPr>
                <w:sz w:val="18"/>
              </w:rPr>
              <w:t>Serious and irreversible disruption of critical infrastructure</w:t>
            </w:r>
          </w:p>
        </w:tc>
        <w:tc>
          <w:tcPr>
            <w:tcW w:type="dxa" w:w="4896"/>
          </w:tcPr>
          <w:p>
            <w:r>
              <w:rPr>
                <w:sz w:val="18"/>
              </w:rPr>
              <w:t>Management or operation of infrastructure in scope</w:t>
            </w:r>
          </w:p>
        </w:tc>
        <w:tc>
          <w:tcPr>
            <w:tcW w:type="dxa" w:w="2304"/>
          </w:tcPr>
          <w:p>
            <w:r>
              <w:rPr>
                <w:sz w:val="18"/>
              </w:rPr>
            </w:r>
          </w:p>
        </w:tc>
      </w:tr>
      <w:tr>
        <w:tc>
          <w:tcPr>
            <w:tcW w:type="dxa" w:w="2880"/>
          </w:tcPr>
          <w:p>
            <w:r>
              <w:rPr>
                <w:sz w:val="18"/>
              </w:rPr>
              <w:t>Infringement of fundamental rights obligations</w:t>
            </w:r>
          </w:p>
        </w:tc>
        <w:tc>
          <w:tcPr>
            <w:tcW w:type="dxa" w:w="4896"/>
          </w:tcPr>
          <w:p>
            <w:r>
              <w:rPr>
                <w:sz w:val="18"/>
              </w:rPr>
              <w:t>Report sooner than fifteen days. Set your own shorter internal clock</w:t>
            </w:r>
          </w:p>
        </w:tc>
        <w:tc>
          <w:tcPr>
            <w:tcW w:type="dxa" w:w="2304"/>
          </w:tcPr>
          <w:p>
            <w:r>
              <w:rPr>
                <w:sz w:val="18"/>
              </w:rPr>
            </w:r>
          </w:p>
        </w:tc>
      </w:tr>
      <w:tr>
        <w:tc>
          <w:tcPr>
            <w:tcW w:type="dxa" w:w="2880"/>
          </w:tcPr>
          <w:p>
            <w:r>
              <w:rPr>
                <w:sz w:val="18"/>
              </w:rPr>
              <w:t>Serious harm to property or the environment</w:t>
            </w:r>
          </w:p>
        </w:tc>
        <w:tc>
          <w:tcPr>
            <w:tcW w:type="dxa" w:w="4896"/>
          </w:tcPr>
          <w:p>
            <w:r>
              <w:rPr>
                <w:sz w:val="18"/>
              </w:rPr>
              <w:t>Define the monetary or scope threshold you will use</w:t>
            </w:r>
          </w:p>
        </w:tc>
        <w:tc>
          <w:tcPr>
            <w:tcW w:type="dxa" w:w="2304"/>
          </w:tcPr>
          <w:p>
            <w:r>
              <w:rPr>
                <w:sz w:val="18"/>
              </w:rPr>
            </w:r>
          </w:p>
        </w:tc>
      </w:tr>
    </w:tbl>
    <w:p/>
    <w:p>
      <w:pPr>
        <w:spacing w:after="60"/>
      </w:pPr>
      <w:r>
        <w:rPr>
          <w:b/>
          <w:sz w:val="20"/>
        </w:rPr>
        <w:t xml:space="preserve">Borderline cases considered and the conclusion reached: </w:t>
      </w:r>
      <w:r>
        <w:rPr>
          <w:color w:val="6B7785"/>
          <w:sz w:val="20"/>
        </w:rPr>
        <w:t>[ to be completed ]</w:t>
      </w:r>
    </w:p>
    <w:p>
      <w:pPr>
        <w:spacing w:after="60"/>
      </w:pPr>
      <w:r>
        <w:rPr>
          <w:b/>
          <w:sz w:val="20"/>
        </w:rPr>
        <w:t xml:space="preserve">Who decides reportability, and their deputy: </w:t>
      </w:r>
      <w:r>
        <w:rPr>
          <w:color w:val="6B7785"/>
          <w:sz w:val="20"/>
        </w:rPr>
        <w:t>[ to be completed ]</w:t>
      </w:r>
    </w:p>
    <w:p>
      <w:pPr>
        <w:spacing w:before="320" w:after="120"/>
      </w:pPr>
      <w:r>
        <w:rPr>
          <w:b/>
          <w:color w:val="1A2A3A"/>
          <w:sz w:val="27"/>
        </w:rPr>
        <w:t>2. The Fifteen Day Clock</w:t>
      </w:r>
    </w:p>
    <w:p>
      <w:r>
        <w:rPr>
          <w:i w:val="0"/>
          <w:sz w:val="21"/>
        </w:rPr>
        <w:t>The clock starts at awareness, not at confirmation. That distinction decides whether you meet the deadline, so define awareness in advance and log it.</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1872"/>
            <w:shd w:val="clear" w:fill="1A2A3A"/>
          </w:tcPr>
          <w:p>
            <w:r>
              <w:rPr>
                <w:b/>
                <w:color w:val="FFFFFF"/>
                <w:sz w:val="17"/>
              </w:rPr>
              <w:t>Hour or day</w:t>
            </w:r>
          </w:p>
        </w:tc>
        <w:tc>
          <w:tcPr>
            <w:tcW w:type="dxa" w:w="4896"/>
            <w:shd w:val="clear" w:fill="1A2A3A"/>
          </w:tcPr>
          <w:p>
            <w:r>
              <w:rPr>
                <w:b/>
                <w:color w:val="FFFFFF"/>
                <w:sz w:val="17"/>
              </w:rPr>
              <w:t>Action</w:t>
            </w:r>
          </w:p>
        </w:tc>
        <w:tc>
          <w:tcPr>
            <w:tcW w:type="dxa" w:w="1584"/>
            <w:shd w:val="clear" w:fill="1A2A3A"/>
          </w:tcPr>
          <w:p>
            <w:r>
              <w:rPr>
                <w:b/>
                <w:color w:val="FFFFFF"/>
                <w:sz w:val="17"/>
              </w:rPr>
              <w:t>Owner</w:t>
            </w:r>
          </w:p>
        </w:tc>
        <w:tc>
          <w:tcPr>
            <w:tcW w:type="dxa" w:w="1872"/>
            <w:shd w:val="clear" w:fill="1A2A3A"/>
          </w:tcPr>
          <w:p>
            <w:r>
              <w:rPr>
                <w:b/>
                <w:color w:val="FFFFFF"/>
                <w:sz w:val="17"/>
              </w:rPr>
              <w:t>Evidence produced</w:t>
            </w:r>
          </w:p>
        </w:tc>
      </w:tr>
      <w:tr>
        <w:tc>
          <w:tcPr>
            <w:tcW w:type="dxa" w:w="1872"/>
          </w:tcPr>
          <w:p>
            <w:r>
              <w:rPr>
                <w:sz w:val="18"/>
              </w:rPr>
              <w:t>Hour 0</w:t>
            </w:r>
          </w:p>
        </w:tc>
        <w:tc>
          <w:tcPr>
            <w:tcW w:type="dxa" w:w="4896"/>
          </w:tcPr>
          <w:p>
            <w:r>
              <w:rPr>
                <w:sz w:val="18"/>
              </w:rPr>
              <w:t>Awareness is logged with a timestamp and the identity of the person who became aware. This single entry decides the deadline</w:t>
            </w:r>
          </w:p>
        </w:tc>
        <w:tc>
          <w:tcPr>
            <w:tcW w:type="dxa" w:w="1584"/>
          </w:tcPr>
          <w:p>
            <w:r>
              <w:rPr>
                <w:sz w:val="18"/>
              </w:rPr>
            </w:r>
          </w:p>
        </w:tc>
        <w:tc>
          <w:tcPr>
            <w:tcW w:type="dxa" w:w="1872"/>
          </w:tcPr>
          <w:p>
            <w:r>
              <w:rPr>
                <w:sz w:val="18"/>
              </w:rPr>
            </w:r>
          </w:p>
        </w:tc>
      </w:tr>
      <w:tr>
        <w:tc>
          <w:tcPr>
            <w:tcW w:type="dxa" w:w="1872"/>
          </w:tcPr>
          <w:p>
            <w:r>
              <w:rPr>
                <w:sz w:val="18"/>
              </w:rPr>
              <w:t>Hour 0 to 4</w:t>
            </w:r>
          </w:p>
        </w:tc>
        <w:tc>
          <w:tcPr>
            <w:tcW w:type="dxa" w:w="4896"/>
          </w:tcPr>
          <w:p>
            <w:r>
              <w:rPr>
                <w:sz w:val="18"/>
              </w:rPr>
              <w:t>Contain. Execute the containment procedure, record the elapsed time, and stop the behaviour spreading to neighbouring agents</w:t>
            </w:r>
          </w:p>
        </w:tc>
        <w:tc>
          <w:tcPr>
            <w:tcW w:type="dxa" w:w="1584"/>
          </w:tcPr>
          <w:p>
            <w:r>
              <w:rPr>
                <w:sz w:val="18"/>
              </w:rPr>
            </w:r>
          </w:p>
        </w:tc>
        <w:tc>
          <w:tcPr>
            <w:tcW w:type="dxa" w:w="1872"/>
          </w:tcPr>
          <w:p>
            <w:r>
              <w:rPr>
                <w:sz w:val="18"/>
              </w:rPr>
            </w:r>
          </w:p>
        </w:tc>
      </w:tr>
      <w:tr>
        <w:tc>
          <w:tcPr>
            <w:tcW w:type="dxa" w:w="1872"/>
          </w:tcPr>
          <w:p>
            <w:r>
              <w:rPr>
                <w:sz w:val="18"/>
              </w:rPr>
              <w:t>Hour 4 to 24</w:t>
            </w:r>
          </w:p>
        </w:tc>
        <w:tc>
          <w:tcPr>
            <w:tcW w:type="dxa" w:w="4896"/>
          </w:tcPr>
          <w:p>
            <w:r>
              <w:rPr>
                <w:sz w:val="18"/>
              </w:rPr>
              <w:t>Preserve. Freeze logs, credentials and model version. Evidence lost in the first day cannot be recovered later</w:t>
            </w:r>
          </w:p>
        </w:tc>
        <w:tc>
          <w:tcPr>
            <w:tcW w:type="dxa" w:w="1584"/>
          </w:tcPr>
          <w:p>
            <w:r>
              <w:rPr>
                <w:sz w:val="18"/>
              </w:rPr>
            </w:r>
          </w:p>
        </w:tc>
        <w:tc>
          <w:tcPr>
            <w:tcW w:type="dxa" w:w="1872"/>
          </w:tcPr>
          <w:p>
            <w:r>
              <w:rPr>
                <w:sz w:val="18"/>
              </w:rPr>
            </w:r>
          </w:p>
        </w:tc>
      </w:tr>
      <w:tr>
        <w:tc>
          <w:tcPr>
            <w:tcW w:type="dxa" w:w="1872"/>
          </w:tcPr>
          <w:p>
            <w:r>
              <w:rPr>
                <w:sz w:val="18"/>
              </w:rPr>
              <w:t>Day 1 to 2</w:t>
            </w:r>
          </w:p>
        </w:tc>
        <w:tc>
          <w:tcPr>
            <w:tcW w:type="dxa" w:w="4896"/>
          </w:tcPr>
          <w:p>
            <w:r>
              <w:rPr>
                <w:sz w:val="18"/>
              </w:rPr>
              <w:t>Assess reportability against section 1. Record the decision and the reasoning either way</w:t>
            </w:r>
          </w:p>
        </w:tc>
        <w:tc>
          <w:tcPr>
            <w:tcW w:type="dxa" w:w="1584"/>
          </w:tcPr>
          <w:p>
            <w:r>
              <w:rPr>
                <w:sz w:val="18"/>
              </w:rPr>
            </w:r>
          </w:p>
        </w:tc>
        <w:tc>
          <w:tcPr>
            <w:tcW w:type="dxa" w:w="1872"/>
          </w:tcPr>
          <w:p>
            <w:r>
              <w:rPr>
                <w:sz w:val="18"/>
              </w:rPr>
            </w:r>
          </w:p>
        </w:tc>
      </w:tr>
      <w:tr>
        <w:tc>
          <w:tcPr>
            <w:tcW w:type="dxa" w:w="1872"/>
          </w:tcPr>
          <w:p>
            <w:r>
              <w:rPr>
                <w:sz w:val="18"/>
              </w:rPr>
              <w:t>Day 2 to 3</w:t>
            </w:r>
          </w:p>
        </w:tc>
        <w:tc>
          <w:tcPr>
            <w:tcW w:type="dxa" w:w="4896"/>
          </w:tcPr>
          <w:p>
            <w:r>
              <w:rPr>
                <w:sz w:val="18"/>
              </w:rPr>
              <w:t>Notify internally: general counsel, CISO, the accountable executive, and the board where thresholds require</w:t>
            </w:r>
          </w:p>
        </w:tc>
        <w:tc>
          <w:tcPr>
            <w:tcW w:type="dxa" w:w="1584"/>
          </w:tcPr>
          <w:p>
            <w:r>
              <w:rPr>
                <w:sz w:val="18"/>
              </w:rPr>
            </w:r>
          </w:p>
        </w:tc>
        <w:tc>
          <w:tcPr>
            <w:tcW w:type="dxa" w:w="1872"/>
          </w:tcPr>
          <w:p>
            <w:r>
              <w:rPr>
                <w:sz w:val="18"/>
              </w:rPr>
            </w:r>
          </w:p>
        </w:tc>
      </w:tr>
      <w:tr>
        <w:tc>
          <w:tcPr>
            <w:tcW w:type="dxa" w:w="1872"/>
          </w:tcPr>
          <w:p>
            <w:r>
              <w:rPr>
                <w:sz w:val="18"/>
              </w:rPr>
              <w:t>Day 3 to 10</w:t>
            </w:r>
          </w:p>
        </w:tc>
        <w:tc>
          <w:tcPr>
            <w:tcW w:type="dxa" w:w="4896"/>
          </w:tcPr>
          <w:p>
            <w:r>
              <w:rPr>
                <w:sz w:val="18"/>
              </w:rPr>
              <w:t>Investigate. Reconstruct the decision chain from the decision log. This is where a weak log costs you the deadline</w:t>
            </w:r>
          </w:p>
        </w:tc>
        <w:tc>
          <w:tcPr>
            <w:tcW w:type="dxa" w:w="1584"/>
          </w:tcPr>
          <w:p>
            <w:r>
              <w:rPr>
                <w:sz w:val="18"/>
              </w:rPr>
            </w:r>
          </w:p>
        </w:tc>
        <w:tc>
          <w:tcPr>
            <w:tcW w:type="dxa" w:w="1872"/>
          </w:tcPr>
          <w:p>
            <w:r>
              <w:rPr>
                <w:sz w:val="18"/>
              </w:rPr>
            </w:r>
          </w:p>
        </w:tc>
      </w:tr>
      <w:tr>
        <w:tc>
          <w:tcPr>
            <w:tcW w:type="dxa" w:w="1872"/>
          </w:tcPr>
          <w:p>
            <w:r>
              <w:rPr>
                <w:sz w:val="18"/>
              </w:rPr>
              <w:t>Day 10 to 14</w:t>
            </w:r>
          </w:p>
        </w:tc>
        <w:tc>
          <w:tcPr>
            <w:tcW w:type="dxa" w:w="4896"/>
          </w:tcPr>
          <w:p>
            <w:r>
              <w:rPr>
                <w:sz w:val="18"/>
              </w:rPr>
              <w:t>Draft and review the report with counsel. Prepare the corrective action statement</w:t>
            </w:r>
          </w:p>
        </w:tc>
        <w:tc>
          <w:tcPr>
            <w:tcW w:type="dxa" w:w="1584"/>
          </w:tcPr>
          <w:p>
            <w:r>
              <w:rPr>
                <w:sz w:val="18"/>
              </w:rPr>
            </w:r>
          </w:p>
        </w:tc>
        <w:tc>
          <w:tcPr>
            <w:tcW w:type="dxa" w:w="1872"/>
          </w:tcPr>
          <w:p>
            <w:r>
              <w:rPr>
                <w:sz w:val="18"/>
              </w:rPr>
            </w:r>
          </w:p>
        </w:tc>
      </w:tr>
      <w:tr>
        <w:tc>
          <w:tcPr>
            <w:tcW w:type="dxa" w:w="1872"/>
          </w:tcPr>
          <w:p>
            <w:r>
              <w:rPr>
                <w:sz w:val="18"/>
              </w:rPr>
              <w:t>By Day 15</w:t>
            </w:r>
          </w:p>
        </w:tc>
        <w:tc>
          <w:tcPr>
            <w:tcW w:type="dxa" w:w="4896"/>
          </w:tcPr>
          <w:p>
            <w:r>
              <w:rPr>
                <w:sz w:val="18"/>
              </w:rPr>
              <w:t>File with the market surveillance authority of the relevant Member State</w:t>
            </w:r>
          </w:p>
        </w:tc>
        <w:tc>
          <w:tcPr>
            <w:tcW w:type="dxa" w:w="1584"/>
          </w:tcPr>
          <w:p>
            <w:r>
              <w:rPr>
                <w:sz w:val="18"/>
              </w:rPr>
            </w:r>
          </w:p>
        </w:tc>
        <w:tc>
          <w:tcPr>
            <w:tcW w:type="dxa" w:w="1872"/>
          </w:tcPr>
          <w:p>
            <w:r>
              <w:rPr>
                <w:sz w:val="18"/>
              </w:rPr>
            </w:r>
          </w:p>
        </w:tc>
      </w:tr>
      <w:tr>
        <w:tc>
          <w:tcPr>
            <w:tcW w:type="dxa" w:w="1872"/>
          </w:tcPr>
          <w:p>
            <w:r>
              <w:rPr>
                <w:sz w:val="18"/>
              </w:rPr>
              <w:t>After filing</w:t>
            </w:r>
          </w:p>
        </w:tc>
        <w:tc>
          <w:tcPr>
            <w:tcW w:type="dxa" w:w="4896"/>
          </w:tcPr>
          <w:p>
            <w:r>
              <w:rPr>
                <w:sz w:val="18"/>
              </w:rPr>
              <w:t>Corrective action, post market monitoring update, and the lessons entry that changes a control rather than a slide</w:t>
            </w:r>
          </w:p>
        </w:tc>
        <w:tc>
          <w:tcPr>
            <w:tcW w:type="dxa" w:w="1584"/>
          </w:tcPr>
          <w:p>
            <w:r>
              <w:rPr>
                <w:sz w:val="18"/>
              </w:rPr>
            </w:r>
          </w:p>
        </w:tc>
        <w:tc>
          <w:tcPr>
            <w:tcW w:type="dxa" w:w="1872"/>
          </w:tcPr>
          <w:p>
            <w:r>
              <w:rPr>
                <w:sz w:val="18"/>
              </w:rPr>
            </w:r>
          </w:p>
        </w:tc>
      </w:tr>
    </w:tbl>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The line that decides whether you make the deadline</w:t>
            </w:r>
          </w:p>
          <w:p>
            <w:r>
              <w:rPr>
                <w:sz w:val="20"/>
              </w:rPr>
              <w:t>Day 3 to 10 is reconstruction, and it is the only phase whose duration you control before the incident. An organisation whose decision log captures inputs, retrieved context, tools invoked, the human checkpoint and reversal status reconstructs in hours. An organisation with an outcome log and a timestamp reconstructs in weeks, and does not file on time. Build the log now.</w:t>
            </w:r>
          </w:p>
        </w:tc>
      </w:tr>
    </w:tbl>
    <w:p/>
    <w:p>
      <w:pPr>
        <w:spacing w:before="320" w:after="120"/>
      </w:pPr>
      <w:r>
        <w:rPr>
          <w:b/>
          <w:color w:val="1A2A3A"/>
          <w:sz w:val="27"/>
        </w:rPr>
        <w:t>3. Post Market Monitoring Plan, Article 72</w:t>
      </w:r>
    </w:p>
    <w:p>
      <w:r>
        <w:rPr>
          <w:i w:val="0"/>
          <w:sz w:val="21"/>
        </w:rPr>
        <w:t>Monitoring is what is supposed to find the incident before a customer does. A plan that only collects complaints is a complaints process with a regulatory title.</w:t>
      </w:r>
    </w:p>
    <w:tbl>
      <w:tblPr>
        <w:tblStyle w:val="TableGrid"/>
        <w:tblW w:type="auto" w:w="0"/>
        <w:jc w:val="center"/>
        <w:tblLook w:firstColumn="1" w:firstRow="1" w:lastColumn="0" w:lastRow="0" w:noHBand="0" w:noVBand="1" w:val="04A0"/>
      </w:tblPr>
      <w:tblGrid>
        <w:gridCol w:w="3264"/>
        <w:gridCol w:w="3264"/>
        <w:gridCol w:w="3264"/>
      </w:tblGrid>
      <w:tr>
        <w:tc>
          <w:tcPr>
            <w:tcW w:type="dxa" w:w="2448"/>
            <w:shd w:val="clear" w:fill="1A2A3A"/>
          </w:tcPr>
          <w:p>
            <w:r>
              <w:rPr>
                <w:b/>
                <w:color w:val="FFFFFF"/>
                <w:sz w:val="17"/>
              </w:rPr>
              <w:t>Element</w:t>
            </w:r>
          </w:p>
        </w:tc>
        <w:tc>
          <w:tcPr>
            <w:tcW w:type="dxa" w:w="5184"/>
            <w:shd w:val="clear" w:fill="1A2A3A"/>
          </w:tcPr>
          <w:p>
            <w:r>
              <w:rPr>
                <w:b/>
                <w:color w:val="FFFFFF"/>
                <w:sz w:val="17"/>
              </w:rPr>
              <w:t>What to specify</w:t>
            </w:r>
          </w:p>
        </w:tc>
        <w:tc>
          <w:tcPr>
            <w:tcW w:type="dxa" w:w="2448"/>
            <w:shd w:val="clear" w:fill="1A2A3A"/>
          </w:tcPr>
          <w:p>
            <w:r>
              <w:rPr>
                <w:b/>
                <w:color w:val="FFFFFF"/>
                <w:sz w:val="17"/>
              </w:rPr>
              <w:t>Yours</w:t>
            </w:r>
          </w:p>
        </w:tc>
      </w:tr>
      <w:tr>
        <w:tc>
          <w:tcPr>
            <w:tcW w:type="dxa" w:w="2448"/>
          </w:tcPr>
          <w:p>
            <w:r>
              <w:rPr>
                <w:sz w:val="18"/>
              </w:rPr>
              <w:t>Signals collected</w:t>
            </w:r>
          </w:p>
        </w:tc>
        <w:tc>
          <w:tcPr>
            <w:tcW w:type="dxa" w:w="5184"/>
          </w:tcPr>
          <w:p>
            <w:r>
              <w:rPr>
                <w:sz w:val="18"/>
              </w:rPr>
              <w:t>Which of the five agent indicators feed monitoring, plus complaints, near misses and reversal rates</w:t>
            </w:r>
          </w:p>
        </w:tc>
        <w:tc>
          <w:tcPr>
            <w:tcW w:type="dxa" w:w="2448"/>
          </w:tcPr>
          <w:p>
            <w:r>
              <w:rPr>
                <w:sz w:val="18"/>
              </w:rPr>
            </w:r>
          </w:p>
        </w:tc>
      </w:tr>
      <w:tr>
        <w:tc>
          <w:tcPr>
            <w:tcW w:type="dxa" w:w="2448"/>
          </w:tcPr>
          <w:p>
            <w:r>
              <w:rPr>
                <w:sz w:val="18"/>
              </w:rPr>
              <w:t>Collection method</w:t>
            </w:r>
          </w:p>
        </w:tc>
        <w:tc>
          <w:tcPr>
            <w:tcW w:type="dxa" w:w="5184"/>
          </w:tcPr>
          <w:p>
            <w:r>
              <w:rPr>
                <w:sz w:val="18"/>
              </w:rPr>
              <w:t>Automatic from the platform, or manual. Say which, because manual collection degrades exactly like manual oversight</w:t>
            </w:r>
          </w:p>
        </w:tc>
        <w:tc>
          <w:tcPr>
            <w:tcW w:type="dxa" w:w="2448"/>
          </w:tcPr>
          <w:p>
            <w:r>
              <w:rPr>
                <w:sz w:val="18"/>
              </w:rPr>
            </w:r>
          </w:p>
        </w:tc>
      </w:tr>
      <w:tr>
        <w:tc>
          <w:tcPr>
            <w:tcW w:type="dxa" w:w="2448"/>
          </w:tcPr>
          <w:p>
            <w:r>
              <w:rPr>
                <w:sz w:val="18"/>
              </w:rPr>
              <w:t>Review cadence</w:t>
            </w:r>
          </w:p>
        </w:tc>
        <w:tc>
          <w:tcPr>
            <w:tcW w:type="dxa" w:w="5184"/>
          </w:tcPr>
          <w:p>
            <w:r>
              <w:rPr>
                <w:sz w:val="18"/>
              </w:rPr>
              <w:t>Who reviews, how often, and what they are required to escalate</w:t>
            </w:r>
          </w:p>
        </w:tc>
        <w:tc>
          <w:tcPr>
            <w:tcW w:type="dxa" w:w="2448"/>
          </w:tcPr>
          <w:p>
            <w:r>
              <w:rPr>
                <w:sz w:val="18"/>
              </w:rPr>
            </w:r>
          </w:p>
        </w:tc>
      </w:tr>
      <w:tr>
        <w:tc>
          <w:tcPr>
            <w:tcW w:type="dxa" w:w="2448"/>
          </w:tcPr>
          <w:p>
            <w:r>
              <w:rPr>
                <w:sz w:val="18"/>
              </w:rPr>
              <w:t>Trigger thresholds</w:t>
            </w:r>
          </w:p>
        </w:tc>
        <w:tc>
          <w:tcPr>
            <w:tcW w:type="dxa" w:w="5184"/>
          </w:tcPr>
          <w:p>
            <w:r>
              <w:rPr>
                <w:sz w:val="18"/>
              </w:rPr>
              <w:t>The level at which a signal becomes an investigation rather than an observation</w:t>
            </w:r>
          </w:p>
        </w:tc>
        <w:tc>
          <w:tcPr>
            <w:tcW w:type="dxa" w:w="2448"/>
          </w:tcPr>
          <w:p>
            <w:r>
              <w:rPr>
                <w:sz w:val="18"/>
              </w:rPr>
            </w:r>
          </w:p>
        </w:tc>
      </w:tr>
      <w:tr>
        <w:tc>
          <w:tcPr>
            <w:tcW w:type="dxa" w:w="2448"/>
          </w:tcPr>
          <w:p>
            <w:r>
              <w:rPr>
                <w:sz w:val="18"/>
              </w:rPr>
              <w:t>Link to error budgets</w:t>
            </w:r>
          </w:p>
        </w:tc>
        <w:tc>
          <w:tcPr>
            <w:tcW w:type="dxa" w:w="5184"/>
          </w:tcPr>
          <w:p>
            <w:r>
              <w:rPr>
                <w:sz w:val="18"/>
              </w:rPr>
              <w:t>Which budget burn rates constitute a monitoring signal in their own right</w:t>
            </w:r>
          </w:p>
        </w:tc>
        <w:tc>
          <w:tcPr>
            <w:tcW w:type="dxa" w:w="2448"/>
          </w:tcPr>
          <w:p>
            <w:r>
              <w:rPr>
                <w:sz w:val="18"/>
              </w:rPr>
            </w:r>
          </w:p>
        </w:tc>
      </w:tr>
      <w:tr>
        <w:tc>
          <w:tcPr>
            <w:tcW w:type="dxa" w:w="2448"/>
          </w:tcPr>
          <w:p>
            <w:r>
              <w:rPr>
                <w:sz w:val="18"/>
              </w:rPr>
              <w:t>Feedback into design</w:t>
            </w:r>
          </w:p>
        </w:tc>
        <w:tc>
          <w:tcPr>
            <w:tcW w:type="dxa" w:w="5184"/>
          </w:tcPr>
          <w:p>
            <w:r>
              <w:rPr>
                <w:sz w:val="18"/>
              </w:rPr>
              <w:t>How a monitoring finding changes the system, with an example from the last year</w:t>
            </w:r>
          </w:p>
        </w:tc>
        <w:tc>
          <w:tcPr>
            <w:tcW w:type="dxa" w:w="2448"/>
          </w:tcPr>
          <w:p>
            <w:r>
              <w:rPr>
                <w:sz w:val="18"/>
              </w:rPr>
            </w:r>
          </w:p>
        </w:tc>
      </w:tr>
      <w:tr>
        <w:tc>
          <w:tcPr>
            <w:tcW w:type="dxa" w:w="2448"/>
          </w:tcPr>
          <w:p>
            <w:r>
              <w:rPr>
                <w:sz w:val="18"/>
              </w:rPr>
              <w:t>Retention</w:t>
            </w:r>
          </w:p>
        </w:tc>
        <w:tc>
          <w:tcPr>
            <w:tcW w:type="dxa" w:w="5184"/>
          </w:tcPr>
          <w:p>
            <w:r>
              <w:rPr>
                <w:sz w:val="18"/>
              </w:rPr>
              <w:t>How long monitoring data is kept, against the reporting and limitation windows</w:t>
            </w:r>
          </w:p>
        </w:tc>
        <w:tc>
          <w:tcPr>
            <w:tcW w:type="dxa" w:w="2448"/>
          </w:tcPr>
          <w:p>
            <w:r>
              <w:rPr>
                <w:sz w:val="18"/>
              </w:rPr>
            </w:r>
          </w:p>
        </w:tc>
      </w:tr>
    </w:tbl>
    <w:p/>
    <w:p>
      <w:pPr>
        <w:spacing w:before="320" w:after="120"/>
      </w:pPr>
      <w:r>
        <w:rPr>
          <w:b/>
          <w:color w:val="1A2A3A"/>
          <w:sz w:val="27"/>
        </w:rPr>
        <w:t>4. Rehearsal Record</w:t>
      </w:r>
    </w:p>
    <w:p>
      <w:r>
        <w:rPr>
          <w:i w:val="0"/>
          <w:sz w:val="21"/>
        </w:rPr>
        <w:t>A runbook that has never been exercised is a document. Rehearse end to end, including the parts people skip: the communications, the reversal of sample actions, and the drafting of the report itself.</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2880"/>
            <w:shd w:val="clear" w:fill="1A2A3A"/>
          </w:tcPr>
          <w:p>
            <w:r>
              <w:rPr>
                <w:b/>
                <w:color w:val="FFFFFF"/>
                <w:sz w:val="17"/>
              </w:rPr>
              <w:t>Rehearsal element</w:t>
            </w:r>
          </w:p>
        </w:tc>
        <w:tc>
          <w:tcPr>
            <w:tcW w:type="dxa" w:w="1296"/>
            <w:shd w:val="clear" w:fill="1A2A3A"/>
          </w:tcPr>
          <w:p>
            <w:r>
              <w:rPr>
                <w:b/>
                <w:color w:val="FFFFFF"/>
                <w:sz w:val="17"/>
              </w:rPr>
              <w:t>Date</w:t>
            </w:r>
          </w:p>
        </w:tc>
        <w:tc>
          <w:tcPr>
            <w:tcW w:type="dxa" w:w="2016"/>
            <w:shd w:val="clear" w:fill="1A2A3A"/>
          </w:tcPr>
          <w:p>
            <w:r>
              <w:rPr>
                <w:b/>
                <w:color w:val="FFFFFF"/>
                <w:sz w:val="17"/>
              </w:rPr>
              <w:t>Participants</w:t>
            </w:r>
          </w:p>
        </w:tc>
        <w:tc>
          <w:tcPr>
            <w:tcW w:type="dxa" w:w="1440"/>
            <w:shd w:val="clear" w:fill="1A2A3A"/>
          </w:tcPr>
          <w:p>
            <w:r>
              <w:rPr>
                <w:b/>
                <w:color w:val="FFFFFF"/>
                <w:sz w:val="17"/>
              </w:rPr>
              <w:t>Elapsed time</w:t>
            </w:r>
          </w:p>
        </w:tc>
        <w:tc>
          <w:tcPr>
            <w:tcW w:type="dxa" w:w="2304"/>
            <w:shd w:val="clear" w:fill="1A2A3A"/>
          </w:tcPr>
          <w:p>
            <w:r>
              <w:rPr>
                <w:b/>
                <w:color w:val="FFFFFF"/>
                <w:sz w:val="17"/>
              </w:rPr>
              <w:t>Finding</w:t>
            </w:r>
          </w:p>
        </w:tc>
      </w:tr>
      <w:tr>
        <w:tc>
          <w:tcPr>
            <w:tcW w:type="dxa" w:w="2880"/>
          </w:tcPr>
          <w:p>
            <w:r>
              <w:rPr>
                <w:sz w:val="18"/>
              </w:rPr>
              <w:t>Awareness logging and clock start</w:t>
            </w:r>
          </w:p>
        </w:tc>
        <w:tc>
          <w:tcPr>
            <w:tcW w:type="dxa" w:w="1296"/>
          </w:tcPr>
          <w:p>
            <w:r>
              <w:rPr>
                <w:sz w:val="18"/>
              </w:rPr>
            </w:r>
          </w:p>
        </w:tc>
        <w:tc>
          <w:tcPr>
            <w:tcW w:type="dxa" w:w="2016"/>
          </w:tcPr>
          <w:p>
            <w:r>
              <w:rPr>
                <w:sz w:val="18"/>
              </w:rPr>
            </w:r>
          </w:p>
        </w:tc>
        <w:tc>
          <w:tcPr>
            <w:tcW w:type="dxa" w:w="1440"/>
          </w:tcPr>
          <w:p>
            <w:r>
              <w:rPr>
                <w:sz w:val="18"/>
              </w:rPr>
            </w:r>
          </w:p>
        </w:tc>
        <w:tc>
          <w:tcPr>
            <w:tcW w:type="dxa" w:w="2304"/>
          </w:tcPr>
          <w:p>
            <w:r>
              <w:rPr>
                <w:sz w:val="18"/>
              </w:rPr>
            </w:r>
          </w:p>
        </w:tc>
      </w:tr>
      <w:tr>
        <w:tc>
          <w:tcPr>
            <w:tcW w:type="dxa" w:w="2880"/>
          </w:tcPr>
          <w:p>
            <w:r>
              <w:rPr>
                <w:sz w:val="18"/>
              </w:rPr>
              <w:t>Containment execution and timing</w:t>
            </w:r>
          </w:p>
        </w:tc>
        <w:tc>
          <w:tcPr>
            <w:tcW w:type="dxa" w:w="1296"/>
          </w:tcPr>
          <w:p>
            <w:r>
              <w:rPr>
                <w:sz w:val="18"/>
              </w:rPr>
            </w:r>
          </w:p>
        </w:tc>
        <w:tc>
          <w:tcPr>
            <w:tcW w:type="dxa" w:w="2016"/>
          </w:tcPr>
          <w:p>
            <w:r>
              <w:rPr>
                <w:sz w:val="18"/>
              </w:rPr>
            </w:r>
          </w:p>
        </w:tc>
        <w:tc>
          <w:tcPr>
            <w:tcW w:type="dxa" w:w="1440"/>
          </w:tcPr>
          <w:p>
            <w:r>
              <w:rPr>
                <w:sz w:val="18"/>
              </w:rPr>
            </w:r>
          </w:p>
        </w:tc>
        <w:tc>
          <w:tcPr>
            <w:tcW w:type="dxa" w:w="2304"/>
          </w:tcPr>
          <w:p>
            <w:r>
              <w:rPr>
                <w:sz w:val="18"/>
              </w:rPr>
            </w:r>
          </w:p>
        </w:tc>
      </w:tr>
      <w:tr>
        <w:tc>
          <w:tcPr>
            <w:tcW w:type="dxa" w:w="2880"/>
          </w:tcPr>
          <w:p>
            <w:r>
              <w:rPr>
                <w:sz w:val="18"/>
              </w:rPr>
              <w:t>Evidence preservation</w:t>
            </w:r>
          </w:p>
        </w:tc>
        <w:tc>
          <w:tcPr>
            <w:tcW w:type="dxa" w:w="1296"/>
          </w:tcPr>
          <w:p>
            <w:r>
              <w:rPr>
                <w:sz w:val="18"/>
              </w:rPr>
            </w:r>
          </w:p>
        </w:tc>
        <w:tc>
          <w:tcPr>
            <w:tcW w:type="dxa" w:w="2016"/>
          </w:tcPr>
          <w:p>
            <w:r>
              <w:rPr>
                <w:sz w:val="18"/>
              </w:rPr>
            </w:r>
          </w:p>
        </w:tc>
        <w:tc>
          <w:tcPr>
            <w:tcW w:type="dxa" w:w="1440"/>
          </w:tcPr>
          <w:p>
            <w:r>
              <w:rPr>
                <w:sz w:val="18"/>
              </w:rPr>
            </w:r>
          </w:p>
        </w:tc>
        <w:tc>
          <w:tcPr>
            <w:tcW w:type="dxa" w:w="2304"/>
          </w:tcPr>
          <w:p>
            <w:r>
              <w:rPr>
                <w:sz w:val="18"/>
              </w:rPr>
            </w:r>
          </w:p>
        </w:tc>
      </w:tr>
      <w:tr>
        <w:tc>
          <w:tcPr>
            <w:tcW w:type="dxa" w:w="2880"/>
          </w:tcPr>
          <w:p>
            <w:r>
              <w:rPr>
                <w:sz w:val="18"/>
              </w:rPr>
              <w:t>Reportability decision</w:t>
            </w:r>
          </w:p>
        </w:tc>
        <w:tc>
          <w:tcPr>
            <w:tcW w:type="dxa" w:w="1296"/>
          </w:tcPr>
          <w:p>
            <w:r>
              <w:rPr>
                <w:sz w:val="18"/>
              </w:rPr>
            </w:r>
          </w:p>
        </w:tc>
        <w:tc>
          <w:tcPr>
            <w:tcW w:type="dxa" w:w="2016"/>
          </w:tcPr>
          <w:p>
            <w:r>
              <w:rPr>
                <w:sz w:val="18"/>
              </w:rPr>
            </w:r>
          </w:p>
        </w:tc>
        <w:tc>
          <w:tcPr>
            <w:tcW w:type="dxa" w:w="1440"/>
          </w:tcPr>
          <w:p>
            <w:r>
              <w:rPr>
                <w:sz w:val="18"/>
              </w:rPr>
            </w:r>
          </w:p>
        </w:tc>
        <w:tc>
          <w:tcPr>
            <w:tcW w:type="dxa" w:w="2304"/>
          </w:tcPr>
          <w:p>
            <w:r>
              <w:rPr>
                <w:sz w:val="18"/>
              </w:rPr>
            </w:r>
          </w:p>
        </w:tc>
      </w:tr>
      <w:tr>
        <w:tc>
          <w:tcPr>
            <w:tcW w:type="dxa" w:w="2880"/>
          </w:tcPr>
          <w:p>
            <w:r>
              <w:rPr>
                <w:sz w:val="18"/>
              </w:rPr>
              <w:t>Decision chain reconstruction from the log</w:t>
            </w:r>
          </w:p>
        </w:tc>
        <w:tc>
          <w:tcPr>
            <w:tcW w:type="dxa" w:w="1296"/>
          </w:tcPr>
          <w:p>
            <w:r>
              <w:rPr>
                <w:sz w:val="18"/>
              </w:rPr>
            </w:r>
          </w:p>
        </w:tc>
        <w:tc>
          <w:tcPr>
            <w:tcW w:type="dxa" w:w="2016"/>
          </w:tcPr>
          <w:p>
            <w:r>
              <w:rPr>
                <w:sz w:val="18"/>
              </w:rPr>
            </w:r>
          </w:p>
        </w:tc>
        <w:tc>
          <w:tcPr>
            <w:tcW w:type="dxa" w:w="1440"/>
          </w:tcPr>
          <w:p>
            <w:r>
              <w:rPr>
                <w:sz w:val="18"/>
              </w:rPr>
            </w:r>
          </w:p>
        </w:tc>
        <w:tc>
          <w:tcPr>
            <w:tcW w:type="dxa" w:w="2304"/>
          </w:tcPr>
          <w:p>
            <w:r>
              <w:rPr>
                <w:sz w:val="18"/>
              </w:rPr>
            </w:r>
          </w:p>
        </w:tc>
      </w:tr>
      <w:tr>
        <w:tc>
          <w:tcPr>
            <w:tcW w:type="dxa" w:w="2880"/>
          </w:tcPr>
          <w:p>
            <w:r>
              <w:rPr>
                <w:sz w:val="18"/>
              </w:rPr>
              <w:t>Report drafted to a reviewable standard</w:t>
            </w:r>
          </w:p>
        </w:tc>
        <w:tc>
          <w:tcPr>
            <w:tcW w:type="dxa" w:w="1296"/>
          </w:tcPr>
          <w:p>
            <w:r>
              <w:rPr>
                <w:sz w:val="18"/>
              </w:rPr>
            </w:r>
          </w:p>
        </w:tc>
        <w:tc>
          <w:tcPr>
            <w:tcW w:type="dxa" w:w="2016"/>
          </w:tcPr>
          <w:p>
            <w:r>
              <w:rPr>
                <w:sz w:val="18"/>
              </w:rPr>
            </w:r>
          </w:p>
        </w:tc>
        <w:tc>
          <w:tcPr>
            <w:tcW w:type="dxa" w:w="1440"/>
          </w:tcPr>
          <w:p>
            <w:r>
              <w:rPr>
                <w:sz w:val="18"/>
              </w:rPr>
            </w:r>
          </w:p>
        </w:tc>
        <w:tc>
          <w:tcPr>
            <w:tcW w:type="dxa" w:w="2304"/>
          </w:tcPr>
          <w:p>
            <w:r>
              <w:rPr>
                <w:sz w:val="18"/>
              </w:rPr>
            </w:r>
          </w:p>
        </w:tc>
      </w:tr>
      <w:tr>
        <w:tc>
          <w:tcPr>
            <w:tcW w:type="dxa" w:w="2880"/>
          </w:tcPr>
          <w:p>
            <w:r>
              <w:rPr>
                <w:sz w:val="18"/>
              </w:rPr>
              <w:t>Reversal of sample actions</w:t>
            </w:r>
          </w:p>
        </w:tc>
        <w:tc>
          <w:tcPr>
            <w:tcW w:type="dxa" w:w="1296"/>
          </w:tcPr>
          <w:p>
            <w:r>
              <w:rPr>
                <w:sz w:val="18"/>
              </w:rPr>
            </w:r>
          </w:p>
        </w:tc>
        <w:tc>
          <w:tcPr>
            <w:tcW w:type="dxa" w:w="2016"/>
          </w:tcPr>
          <w:p>
            <w:r>
              <w:rPr>
                <w:sz w:val="18"/>
              </w:rPr>
            </w:r>
          </w:p>
        </w:tc>
        <w:tc>
          <w:tcPr>
            <w:tcW w:type="dxa" w:w="1440"/>
          </w:tcPr>
          <w:p>
            <w:r>
              <w:rPr>
                <w:sz w:val="18"/>
              </w:rPr>
            </w:r>
          </w:p>
        </w:tc>
        <w:tc>
          <w:tcPr>
            <w:tcW w:type="dxa" w:w="2304"/>
          </w:tcPr>
          <w:p>
            <w:r>
              <w:rPr>
                <w:sz w:val="18"/>
              </w:rPr>
            </w:r>
          </w:p>
        </w:tc>
      </w:tr>
      <w:tr>
        <w:tc>
          <w:tcPr>
            <w:tcW w:type="dxa" w:w="2880"/>
          </w:tcPr>
          <w:p>
            <w:r>
              <w:rPr>
                <w:sz w:val="18"/>
              </w:rPr>
              <w:t>Executive and board notification</w:t>
            </w:r>
          </w:p>
        </w:tc>
        <w:tc>
          <w:tcPr>
            <w:tcW w:type="dxa" w:w="1296"/>
          </w:tcPr>
          <w:p>
            <w:r>
              <w:rPr>
                <w:sz w:val="18"/>
              </w:rPr>
            </w:r>
          </w:p>
        </w:tc>
        <w:tc>
          <w:tcPr>
            <w:tcW w:type="dxa" w:w="2016"/>
          </w:tcPr>
          <w:p>
            <w:r>
              <w:rPr>
                <w:sz w:val="18"/>
              </w:rPr>
            </w:r>
          </w:p>
        </w:tc>
        <w:tc>
          <w:tcPr>
            <w:tcW w:type="dxa" w:w="1440"/>
          </w:tcPr>
          <w:p>
            <w:r>
              <w:rPr>
                <w:sz w:val="18"/>
              </w:rPr>
            </w:r>
          </w:p>
        </w:tc>
        <w:tc>
          <w:tcPr>
            <w:tcW w:type="dxa" w:w="2304"/>
          </w:tcPr>
          <w:p>
            <w:r>
              <w:rPr>
                <w:sz w:val="18"/>
              </w:rPr>
            </w:r>
          </w:p>
        </w:tc>
      </w:tr>
    </w:tbl>
    <w:p/>
    <w:p>
      <w:pPr>
        <w:spacing w:after="60"/>
      </w:pPr>
      <w:r>
        <w:rPr>
          <w:b/>
          <w:sz w:val="20"/>
        </w:rPr>
        <w:t xml:space="preserve">Longest phase in rehearsal, and what it implies for the fifteen days: </w:t>
      </w:r>
      <w:r>
        <w:rPr>
          <w:color w:val="6B7785"/>
          <w:sz w:val="20"/>
        </w:rPr>
        <w:t>[ to be completed ]</w:t>
      </w:r>
    </w:p>
    <w:p>
      <w:pPr>
        <w:spacing w:after="60"/>
      </w:pPr>
      <w:r>
        <w:rPr>
          <w:b/>
          <w:sz w:val="20"/>
        </w:rPr>
        <w:t xml:space="preserve">Findings tracked to closure by: </w:t>
      </w:r>
      <w:r>
        <w:rPr>
          <w:color w:val="6B7785"/>
          <w:sz w:val="20"/>
        </w:rPr>
        <w:t>[ to be completed ]</w:t>
      </w:r>
    </w:p>
    <w:p>
      <w:pPr>
        <w:spacing w:before="320" w:after="120"/>
      </w:pPr>
      <w:r>
        <w:rPr>
          <w:b/>
          <w:color w:val="1A2A3A"/>
          <w:sz w:val="27"/>
        </w:rPr>
        <w:t>Basis and Limits</w:t>
      </w:r>
    </w:p>
    <w:p>
      <w:r>
        <w:rPr>
          <w:i/>
          <w:sz w:val="19"/>
        </w:rPr>
        <w:t>This instrument is a working template from the companion toolkit to When Agents Rule by Steven Oppenheim. It is blank by design: it provides the structure, the questions and the tests, and you provide the content. It is not an audit, a certification or a benchmark, and it is not legal, technical or financial advice. Whether an event is a reportable serious incident under Article 73 is a legal determination for qualified counsel, and the reporting channel and content requirements vary by Member State. This runbook builds the capability; it does not make the determination. Every regulatory reference must be verified against the primary text, and dates in this area have moved once already. Free for internal use inside your own organization; see the usage policy for redistribution.</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