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C9A227"/>
          <w:sz w:val="18"/>
        </w:rPr>
        <w:t>WHEN AGENTS RULE  //  COMPANION TOOLKIT</w:t>
      </w:r>
    </w:p>
    <w:p>
      <w:pPr>
        <w:jc w:val="center"/>
      </w:pPr>
      <w:r>
        <w:rPr>
          <w:b/>
          <w:color w:val="1A2A3A"/>
          <w:sz w:val="42"/>
        </w:rPr>
        <w:t>Sovereign Stack 2.0 and PLACE Assessment Worksheet</w:t>
      </w:r>
    </w:p>
    <w:p>
      <w:pPr>
        <w:jc w:val="center"/>
      </w:pPr>
      <w:r>
        <w:rPr>
          <w:i/>
          <w:color w:val="6B7785"/>
          <w:sz w:val="22"/>
        </w:rPr>
        <w:t>Five questions every workload answers before it gets infrastructure, plus the five vendor sovereignty questions for every model selection</w:t>
      </w:r>
    </w:p>
    <w:p>
      <w:pPr>
        <w:jc w:val="center"/>
      </w:pPr>
      <w:r>
        <w:rPr>
          <w:color w:val="6B7785"/>
          <w:sz w:val="17"/>
        </w:rPr>
        <w:t>Companion toolkit, September 2026  //  Method: When Agents Rule, Chapters 9 and 14</w:t>
      </w:r>
    </w:p>
    <w:p/>
    <w:tbl>
      <w:tblPr>
        <w:tblStyle w:val="TableGrid"/>
        <w:tblW w:type="auto" w:w="0"/>
        <w:tblLook w:firstColumn="1" w:firstRow="1" w:lastColumn="0" w:lastRow="0" w:noHBand="0" w:noVBand="1" w:val="04A0"/>
      </w:tblPr>
      <w:tblGrid>
        <w:gridCol w:w="9792"/>
      </w:tblGrid>
      <w:tr>
        <w:tc>
          <w:tcPr>
            <w:tcW w:type="dxa" w:w="9792"/>
            <w:shd w:val="clear" w:fill="FFF9E6"/>
          </w:tcPr>
          <w:p>
            <w:r>
              <w:rPr>
                <w:b/>
                <w:color w:val="1A2A3A"/>
                <w:sz w:val="20"/>
              </w:rPr>
              <w:t>The discipline in one line</w:t>
            </w:r>
          </w:p>
          <w:p>
            <w:r>
              <w:rPr>
                <w:sz w:val="20"/>
              </w:rPr>
              <w:t>Chapter 9 states it plainly: every workload entering production answers PLACE's five questions before it gets infrastructure. The point is not that the answers are hard. The point is that answering them afterwards turns a placement decision into architectural folklore, which cannot be audited, defended or reversed.</w:t>
            </w:r>
          </w:p>
        </w:tc>
      </w:tr>
    </w:tbl>
    <w:p/>
    <w:p>
      <w:pPr>
        <w:spacing w:before="320" w:after="120"/>
      </w:pPr>
      <w:r>
        <w:rPr>
          <w:b/>
          <w:color w:val="1A2A3A"/>
          <w:sz w:val="27"/>
        </w:rPr>
        <w:t>1. Workload Identification</w:t>
      </w:r>
    </w:p>
    <w:p>
      <w:pPr>
        <w:spacing w:after="60"/>
      </w:pPr>
      <w:r>
        <w:rPr>
          <w:b/>
          <w:sz w:val="20"/>
        </w:rPr>
        <w:t xml:space="preserve">Workload name: </w:t>
      </w:r>
      <w:r>
        <w:rPr>
          <w:color w:val="6B7785"/>
          <w:sz w:val="20"/>
        </w:rPr>
        <w:t>[ to be completed ]</w:t>
      </w:r>
    </w:p>
    <w:p>
      <w:pPr>
        <w:spacing w:after="60"/>
      </w:pPr>
      <w:r>
        <w:rPr>
          <w:b/>
          <w:sz w:val="20"/>
        </w:rPr>
        <w:t xml:space="preserve">Business owner and role: </w:t>
      </w:r>
      <w:r>
        <w:rPr>
          <w:color w:val="6B7785"/>
          <w:sz w:val="20"/>
        </w:rPr>
        <w:t>[ to be completed ]</w:t>
      </w:r>
    </w:p>
    <w:p>
      <w:pPr>
        <w:spacing w:after="60"/>
      </w:pPr>
      <w:r>
        <w:rPr>
          <w:b/>
          <w:sz w:val="20"/>
        </w:rPr>
        <w:t xml:space="preserve">Technical owner and role: </w:t>
      </w:r>
      <w:r>
        <w:rPr>
          <w:color w:val="6B7785"/>
          <w:sz w:val="20"/>
        </w:rPr>
        <w:t>[ to be completed ]</w:t>
      </w:r>
    </w:p>
    <w:p>
      <w:pPr>
        <w:spacing w:after="60"/>
      </w:pPr>
      <w:r>
        <w:rPr>
          <w:b/>
          <w:sz w:val="20"/>
        </w:rPr>
        <w:t xml:space="preserve">Date of assessment: </w:t>
      </w:r>
      <w:r>
        <w:rPr>
          <w:color w:val="6B7785"/>
          <w:sz w:val="20"/>
        </w:rPr>
        <w:t>[ to be completed ]</w:t>
      </w:r>
    </w:p>
    <w:p>
      <w:pPr>
        <w:spacing w:after="60"/>
      </w:pPr>
      <w:r>
        <w:rPr>
          <w:b/>
          <w:sz w:val="20"/>
        </w:rPr>
        <w:t xml:space="preserve">Data classes processed: </w:t>
      </w:r>
      <w:r>
        <w:rPr>
          <w:color w:val="6B7785"/>
          <w:sz w:val="20"/>
        </w:rPr>
        <w:t>[ to be completed ]</w:t>
      </w:r>
    </w:p>
    <w:p>
      <w:pPr>
        <w:spacing w:after="60"/>
      </w:pPr>
      <w:r>
        <w:rPr>
          <w:b/>
          <w:sz w:val="20"/>
        </w:rPr>
        <w:t xml:space="preserve">Assessment review date: </w:t>
      </w:r>
      <w:r>
        <w:rPr>
          <w:color w:val="6B7785"/>
          <w:sz w:val="20"/>
        </w:rPr>
        <w:t>[ to be completed ]</w:t>
      </w:r>
    </w:p>
    <w:p>
      <w:pPr>
        <w:spacing w:before="320" w:after="120"/>
      </w:pPr>
      <w:r>
        <w:rPr>
          <w:b/>
          <w:color w:val="1A2A3A"/>
          <w:sz w:val="27"/>
        </w:rPr>
        <w:t>2. PLACE: The Five Questions</w:t>
      </w:r>
    </w:p>
    <w:p>
      <w:pPr>
        <w:spacing w:before="220" w:after="80"/>
      </w:pPr>
      <w:r>
        <w:rPr>
          <w:b/>
          <w:color w:val="1A2A3A"/>
          <w:sz w:val="22"/>
        </w:rPr>
        <w:t>P for Placement</w:t>
      </w:r>
    </w:p>
    <w:p>
      <w:r>
        <w:rPr>
          <w:i w:val="0"/>
          <w:sz w:val="21"/>
        </w:rPr>
        <w:t>In which jurisdiction will this workload run, and in which jurisdictions will its data rest and transit?</w:t>
      </w:r>
    </w:p>
    <w:p>
      <w:pPr>
        <w:pStyle w:val="ListBullet"/>
        <w:spacing w:after="60"/>
      </w:pPr>
      <w:r>
        <w:rPr>
          <w:sz w:val="21"/>
        </w:rPr>
        <w:t>Primary jurisdiction and legal framework governing the infrastructure</w:t>
      </w:r>
    </w:p>
    <w:p>
      <w:pPr>
        <w:pStyle w:val="ListBullet"/>
        <w:spacing w:after="60"/>
      </w:pPr>
      <w:r>
        <w:rPr>
          <w:sz w:val="21"/>
        </w:rPr>
        <w:t>Jurisdictions the data rests in, including backups and disaster recovery, which are routinely forgotten</w:t>
      </w:r>
    </w:p>
    <w:p>
      <w:pPr>
        <w:pStyle w:val="ListBullet"/>
        <w:spacing w:after="60"/>
      </w:pPr>
      <w:r>
        <w:rPr>
          <w:sz w:val="21"/>
        </w:rPr>
        <w:t>Jurisdictions the data transits, including support access from other regions</w:t>
      </w:r>
    </w:p>
    <w:p>
      <w:pPr>
        <w:pStyle w:val="ListBullet"/>
        <w:spacing w:after="60"/>
      </w:pPr>
      <w:r>
        <w:rPr>
          <w:sz w:val="21"/>
        </w:rPr>
        <w:t>Whether any of those jurisdictions creates exposure under a foreign access regime</w:t>
      </w:r>
    </w:p>
    <w:p>
      <w:pPr>
        <w:spacing w:after="60"/>
      </w:pPr>
      <w:r>
        <w:rPr>
          <w:b/>
          <w:sz w:val="20"/>
        </w:rPr>
        <w:t xml:space="preserve">Answer: </w:t>
      </w:r>
      <w:r>
        <w:rPr>
          <w:color w:val="6B7785"/>
          <w:sz w:val="20"/>
        </w:rPr>
        <w:t>[ to be completed ]</w:t>
      </w:r>
    </w:p>
    <w:p>
      <w:pPr>
        <w:spacing w:after="60"/>
      </w:pPr>
      <w:r>
        <w:rPr>
          <w:b/>
          <w:sz w:val="20"/>
        </w:rPr>
        <w:t xml:space="preserve">Evidence for the answer: </w:t>
      </w:r>
      <w:r>
        <w:rPr>
          <w:color w:val="6B7785"/>
          <w:sz w:val="20"/>
        </w:rPr>
        <w:t>[ to be completed ]</w:t>
      </w:r>
    </w:p>
    <w:p>
      <w:pPr>
        <w:spacing w:before="220" w:after="80"/>
      </w:pPr>
      <w:r>
        <w:rPr>
          <w:b/>
          <w:color w:val="1A2A3A"/>
          <w:sz w:val="22"/>
        </w:rPr>
        <w:t>L for Latency</w:t>
      </w:r>
    </w:p>
    <w:p>
      <w:r>
        <w:rPr>
          <w:i w:val="0"/>
          <w:sz w:val="21"/>
        </w:rPr>
        <w:t>What latency does this workload require, and is that requirement measured or assumed?</w:t>
      </w:r>
    </w:p>
    <w:p>
      <w:pPr>
        <w:pStyle w:val="ListBullet"/>
        <w:spacing w:after="60"/>
      </w:pPr>
      <w:r>
        <w:rPr>
          <w:sz w:val="21"/>
        </w:rPr>
        <w:t>Stated requirement in milliseconds, at which percentile</w:t>
      </w:r>
    </w:p>
    <w:p>
      <w:pPr>
        <w:pStyle w:val="ListBullet"/>
        <w:spacing w:after="60"/>
      </w:pPr>
      <w:r>
        <w:rPr>
          <w:sz w:val="21"/>
        </w:rPr>
        <w:t>Whether the requirement was measured against business outcome or inherited from a template</w:t>
      </w:r>
    </w:p>
    <w:p>
      <w:pPr>
        <w:pStyle w:val="ListBullet"/>
        <w:spacing w:after="60"/>
      </w:pPr>
      <w:r>
        <w:rPr>
          <w:sz w:val="21"/>
        </w:rPr>
        <w:t>What the requirement costs: a tighter latency target usually forecloses the more sovereign placement options</w:t>
      </w:r>
    </w:p>
    <w:p>
      <w:pPr>
        <w:pStyle w:val="ListBullet"/>
        <w:spacing w:after="60"/>
      </w:pPr>
      <w:r>
        <w:rPr>
          <w:sz w:val="21"/>
        </w:rPr>
        <w:t>Published sensitivity ranges vary by a factor of seven, so a borrowed figure is not a measurement</w:t>
      </w:r>
    </w:p>
    <w:p>
      <w:pPr>
        <w:spacing w:after="60"/>
      </w:pPr>
      <w:r>
        <w:rPr>
          <w:b/>
          <w:sz w:val="20"/>
        </w:rPr>
        <w:t xml:space="preserve">Answer: </w:t>
      </w:r>
      <w:r>
        <w:rPr>
          <w:color w:val="6B7785"/>
          <w:sz w:val="20"/>
        </w:rPr>
        <w:t>[ to be completed ]</w:t>
      </w:r>
    </w:p>
    <w:p>
      <w:pPr>
        <w:spacing w:after="60"/>
      </w:pPr>
      <w:r>
        <w:rPr>
          <w:b/>
          <w:sz w:val="20"/>
        </w:rPr>
        <w:t xml:space="preserve">Measured or assumed: </w:t>
      </w:r>
      <w:r>
        <w:rPr>
          <w:color w:val="6B7785"/>
          <w:sz w:val="20"/>
        </w:rPr>
        <w:t>[ state which, plainly ]</w:t>
      </w:r>
    </w:p>
    <w:p>
      <w:pPr>
        <w:spacing w:before="220" w:after="80"/>
      </w:pPr>
      <w:r>
        <w:rPr>
          <w:b/>
          <w:color w:val="1A2A3A"/>
          <w:sz w:val="22"/>
        </w:rPr>
        <w:t>A for Accountability</w:t>
      </w:r>
    </w:p>
    <w:p>
      <w:r>
        <w:rPr>
          <w:i w:val="0"/>
          <w:sz w:val="21"/>
        </w:rPr>
        <w:t>Who is accountable when this workload produces a wrong or harmful outcome, and can that person act?</w:t>
      </w:r>
    </w:p>
    <w:p>
      <w:pPr>
        <w:pStyle w:val="ListBullet"/>
        <w:spacing w:after="60"/>
      </w:pPr>
      <w:r>
        <w:rPr>
          <w:sz w:val="21"/>
        </w:rPr>
        <w:t>Named accountable person and role, not a function or a team</w:t>
      </w:r>
    </w:p>
    <w:p>
      <w:pPr>
        <w:pStyle w:val="ListBullet"/>
        <w:spacing w:after="60"/>
      </w:pPr>
      <w:r>
        <w:rPr>
          <w:sz w:val="21"/>
        </w:rPr>
        <w:t>Whether that person can stop the workload, and how quickly</w:t>
      </w:r>
    </w:p>
    <w:p>
      <w:pPr>
        <w:pStyle w:val="ListBullet"/>
        <w:spacing w:after="60"/>
      </w:pPr>
      <w:r>
        <w:rPr>
          <w:sz w:val="21"/>
        </w:rPr>
        <w:t>How accountability is divided with the provider, and what the contract actually says rather than what the sales deck said</w:t>
      </w:r>
    </w:p>
    <w:p>
      <w:pPr>
        <w:pStyle w:val="ListBullet"/>
        <w:spacing w:after="60"/>
      </w:pPr>
      <w:r>
        <w:rPr>
          <w:sz w:val="21"/>
        </w:rPr>
        <w:t>Whether the accountable person has seen this assessment</w:t>
      </w:r>
    </w:p>
    <w:p>
      <w:pPr>
        <w:spacing w:after="60"/>
      </w:pPr>
      <w:r>
        <w:rPr>
          <w:b/>
          <w:sz w:val="20"/>
        </w:rPr>
        <w:t xml:space="preserve">Answer: </w:t>
      </w:r>
      <w:r>
        <w:rPr>
          <w:color w:val="6B7785"/>
          <w:sz w:val="20"/>
        </w:rPr>
        <w:t>[ to be completed ]</w:t>
      </w:r>
    </w:p>
    <w:p>
      <w:pPr>
        <w:spacing w:after="60"/>
      </w:pPr>
      <w:r>
        <w:rPr>
          <w:b/>
          <w:sz w:val="20"/>
        </w:rPr>
        <w:t xml:space="preserve">Named accountable person: </w:t>
      </w:r>
      <w:r>
        <w:rPr>
          <w:color w:val="6B7785"/>
          <w:sz w:val="20"/>
        </w:rPr>
        <w:t>[ to be completed ]</w:t>
      </w:r>
    </w:p>
    <w:p>
      <w:pPr>
        <w:spacing w:before="220" w:after="80"/>
      </w:pPr>
      <w:r>
        <w:rPr>
          <w:b/>
          <w:color w:val="1A2A3A"/>
          <w:sz w:val="22"/>
        </w:rPr>
        <w:t>C for Compliance</w:t>
      </w:r>
    </w:p>
    <w:p>
      <w:r>
        <w:rPr>
          <w:i w:val="0"/>
          <w:sz w:val="21"/>
        </w:rPr>
        <w:t>Which obligations attach to this workload in each jurisdiction where it runs, and which of them are live today?</w:t>
      </w:r>
    </w:p>
    <w:p>
      <w:pPr>
        <w:pStyle w:val="ListBullet"/>
        <w:spacing w:after="60"/>
      </w:pPr>
      <w:r>
        <w:rPr>
          <w:sz w:val="21"/>
        </w:rPr>
        <w:t>EU AI Act classification, if in scope, with the Article 6 position documented</w:t>
      </w:r>
    </w:p>
    <w:p>
      <w:pPr>
        <w:pStyle w:val="ListBullet"/>
        <w:spacing w:after="60"/>
      </w:pPr>
      <w:r>
        <w:rPr>
          <w:sz w:val="21"/>
        </w:rPr>
        <w:t>Sector regulation and any supervisory expectation that applies regardless of AI specific law</w:t>
      </w:r>
    </w:p>
    <w:p>
      <w:pPr>
        <w:pStyle w:val="ListBullet"/>
        <w:spacing w:after="60"/>
      </w:pPr>
      <w:r>
        <w:rPr>
          <w:sz w:val="21"/>
        </w:rPr>
        <w:t>Data protection basis, including any transfer mechanism relied on</w:t>
      </w:r>
    </w:p>
    <w:p>
      <w:pPr>
        <w:pStyle w:val="ListBullet"/>
        <w:spacing w:after="60"/>
      </w:pPr>
      <w:r>
        <w:rPr>
          <w:sz w:val="21"/>
        </w:rPr>
        <w:t>Which obligations are in force now, as against deferred, because that distinction has changed twice since 2025</w:t>
      </w:r>
    </w:p>
    <w:p>
      <w:pPr>
        <w:spacing w:after="60"/>
      </w:pPr>
      <w:r>
        <w:rPr>
          <w:b/>
          <w:sz w:val="20"/>
        </w:rPr>
        <w:t xml:space="preserve">Answer: </w:t>
      </w:r>
      <w:r>
        <w:rPr>
          <w:color w:val="6B7785"/>
          <w:sz w:val="20"/>
        </w:rPr>
        <w:t>[ to be completed ]</w:t>
      </w:r>
    </w:p>
    <w:p>
      <w:pPr>
        <w:spacing w:after="60"/>
      </w:pPr>
      <w:r>
        <w:rPr>
          <w:b/>
          <w:sz w:val="20"/>
        </w:rPr>
        <w:t xml:space="preserve">Obligations live today: </w:t>
      </w:r>
      <w:r>
        <w:rPr>
          <w:color w:val="6B7785"/>
          <w:sz w:val="20"/>
        </w:rPr>
        <w:t>[ to be completed ]</w:t>
      </w:r>
    </w:p>
    <w:p>
      <w:pPr>
        <w:spacing w:before="220" w:after="80"/>
      </w:pPr>
      <w:r>
        <w:rPr>
          <w:b/>
          <w:color w:val="1A2A3A"/>
          <w:sz w:val="22"/>
        </w:rPr>
        <w:t>E for Economics</w:t>
      </w:r>
    </w:p>
    <w:p>
      <w:r>
        <w:rPr>
          <w:i w:val="0"/>
          <w:sz w:val="21"/>
        </w:rPr>
        <w:t>What does this placement cost per unit of work, and what does the alternative placement cost?</w:t>
      </w:r>
    </w:p>
    <w:p>
      <w:pPr>
        <w:pStyle w:val="ListBullet"/>
        <w:spacing w:after="60"/>
      </w:pPr>
      <w:r>
        <w:rPr>
          <w:sz w:val="21"/>
        </w:rPr>
        <w:t>Cost per compliant decision at the proposed placement, from the CpCD model</w:t>
      </w:r>
    </w:p>
    <w:p>
      <w:pPr>
        <w:pStyle w:val="ListBullet"/>
        <w:spacing w:after="60"/>
      </w:pPr>
      <w:r>
        <w:rPr>
          <w:sz w:val="21"/>
        </w:rPr>
        <w:t>Cost per compliant decision at the most sovereign viable alternative</w:t>
      </w:r>
    </w:p>
    <w:p>
      <w:pPr>
        <w:pStyle w:val="ListBullet"/>
        <w:spacing w:after="60"/>
      </w:pPr>
      <w:r>
        <w:rPr>
          <w:sz w:val="21"/>
        </w:rPr>
        <w:t>The delta, expressed as what sovereignty costs per decision rather than as a total</w:t>
      </w:r>
    </w:p>
    <w:p>
      <w:pPr>
        <w:pStyle w:val="ListBullet"/>
        <w:spacing w:after="60"/>
      </w:pPr>
      <w:r>
        <w:rPr>
          <w:sz w:val="21"/>
        </w:rPr>
        <w:t>One off transition cost if placement later has to change, which is the price of getting this wrong</w:t>
      </w:r>
    </w:p>
    <w:p>
      <w:pPr>
        <w:spacing w:after="60"/>
      </w:pPr>
      <w:r>
        <w:rPr>
          <w:b/>
          <w:sz w:val="20"/>
        </w:rPr>
        <w:t xml:space="preserve">Answer: </w:t>
      </w:r>
      <w:r>
        <w:rPr>
          <w:color w:val="6B7785"/>
          <w:sz w:val="20"/>
        </w:rPr>
        <w:t>[ to be completed ]</w:t>
      </w:r>
    </w:p>
    <w:p>
      <w:pPr>
        <w:spacing w:after="60"/>
      </w:pPr>
      <w:r>
        <w:rPr>
          <w:b/>
          <w:sz w:val="20"/>
        </w:rPr>
        <w:t xml:space="preserve">Cost of sovereignty per decision: </w:t>
      </w:r>
      <w:r>
        <w:rPr>
          <w:color w:val="6B7785"/>
          <w:sz w:val="20"/>
        </w:rPr>
        <w:t>[ to be completed ]</w:t>
      </w:r>
    </w:p>
    <w:p>
      <w:pPr>
        <w:spacing w:before="320" w:after="120"/>
      </w:pPr>
      <w:r>
        <w:rPr>
          <w:b/>
          <w:color w:val="1A2A3A"/>
          <w:sz w:val="27"/>
        </w:rPr>
        <w:t>3. Placement Decision</w:t>
      </w:r>
    </w:p>
    <w:tbl>
      <w:tblPr>
        <w:tblStyle w:val="TableGrid"/>
        <w:tblW w:type="auto" w:w="0"/>
        <w:jc w:val="center"/>
        <w:tblLook w:firstColumn="1" w:firstRow="1" w:lastColumn="0" w:lastRow="0" w:noHBand="0" w:noVBand="1" w:val="04A0"/>
      </w:tblPr>
      <w:tblGrid>
        <w:gridCol w:w="2448"/>
        <w:gridCol w:w="2448"/>
        <w:gridCol w:w="2448"/>
        <w:gridCol w:w="2448"/>
      </w:tblGrid>
      <w:tr>
        <w:tc>
          <w:tcPr>
            <w:tcW w:type="dxa" w:w="2304"/>
            <w:shd w:val="clear" w:fill="1A2A3A"/>
          </w:tcPr>
          <w:p>
            <w:r>
              <w:rPr>
                <w:b/>
                <w:color w:val="FFFFFF"/>
                <w:sz w:val="17"/>
              </w:rPr>
              <w:t>Question</w:t>
            </w:r>
          </w:p>
        </w:tc>
        <w:tc>
          <w:tcPr>
            <w:tcW w:type="dxa" w:w="1872"/>
            <w:shd w:val="clear" w:fill="1A2A3A"/>
          </w:tcPr>
          <w:p>
            <w:r>
              <w:rPr>
                <w:b/>
                <w:color w:val="FFFFFF"/>
                <w:sz w:val="17"/>
              </w:rPr>
              <w:t>Answered</w:t>
            </w:r>
          </w:p>
        </w:tc>
        <w:tc>
          <w:tcPr>
            <w:tcW w:type="dxa" w:w="2304"/>
            <w:shd w:val="clear" w:fill="1A2A3A"/>
          </w:tcPr>
          <w:p>
            <w:r>
              <w:rPr>
                <w:b/>
                <w:color w:val="FFFFFF"/>
                <w:sz w:val="17"/>
              </w:rPr>
              <w:t>Evidence on file</w:t>
            </w:r>
          </w:p>
        </w:tc>
        <w:tc>
          <w:tcPr>
            <w:tcW w:type="dxa" w:w="2304"/>
            <w:shd w:val="clear" w:fill="1A2A3A"/>
          </w:tcPr>
          <w:p>
            <w:r>
              <w:rPr>
                <w:b/>
                <w:color w:val="FFFFFF"/>
                <w:sz w:val="17"/>
              </w:rPr>
              <w:t>Blocks placement</w:t>
            </w:r>
          </w:p>
        </w:tc>
      </w:tr>
      <w:tr>
        <w:tc>
          <w:tcPr>
            <w:tcW w:type="dxa" w:w="2304"/>
          </w:tcPr>
          <w:p>
            <w:r>
              <w:rPr>
                <w:sz w:val="18"/>
              </w:rPr>
              <w:t>Placement</w:t>
            </w:r>
          </w:p>
        </w:tc>
        <w:tc>
          <w:tcPr>
            <w:tcW w:type="dxa" w:w="1872"/>
          </w:tcPr>
          <w:p>
            <w:r>
              <w:rPr>
                <w:sz w:val="18"/>
              </w:rPr>
            </w:r>
          </w:p>
        </w:tc>
        <w:tc>
          <w:tcPr>
            <w:tcW w:type="dxa" w:w="2304"/>
          </w:tcPr>
          <w:p>
            <w:r>
              <w:rPr>
                <w:sz w:val="18"/>
              </w:rPr>
            </w:r>
          </w:p>
        </w:tc>
        <w:tc>
          <w:tcPr>
            <w:tcW w:type="dxa" w:w="2304"/>
          </w:tcPr>
          <w:p>
            <w:r>
              <w:rPr>
                <w:sz w:val="18"/>
              </w:rPr>
            </w:r>
          </w:p>
        </w:tc>
      </w:tr>
      <w:tr>
        <w:tc>
          <w:tcPr>
            <w:tcW w:type="dxa" w:w="2304"/>
          </w:tcPr>
          <w:p>
            <w:r>
              <w:rPr>
                <w:sz w:val="18"/>
              </w:rPr>
              <w:t>Latency</w:t>
            </w:r>
          </w:p>
        </w:tc>
        <w:tc>
          <w:tcPr>
            <w:tcW w:type="dxa" w:w="1872"/>
          </w:tcPr>
          <w:p>
            <w:r>
              <w:rPr>
                <w:sz w:val="18"/>
              </w:rPr>
            </w:r>
          </w:p>
        </w:tc>
        <w:tc>
          <w:tcPr>
            <w:tcW w:type="dxa" w:w="2304"/>
          </w:tcPr>
          <w:p>
            <w:r>
              <w:rPr>
                <w:sz w:val="18"/>
              </w:rPr>
            </w:r>
          </w:p>
        </w:tc>
        <w:tc>
          <w:tcPr>
            <w:tcW w:type="dxa" w:w="2304"/>
          </w:tcPr>
          <w:p>
            <w:r>
              <w:rPr>
                <w:sz w:val="18"/>
              </w:rPr>
            </w:r>
          </w:p>
        </w:tc>
      </w:tr>
      <w:tr>
        <w:tc>
          <w:tcPr>
            <w:tcW w:type="dxa" w:w="2304"/>
          </w:tcPr>
          <w:p>
            <w:r>
              <w:rPr>
                <w:sz w:val="18"/>
              </w:rPr>
              <w:t>Accountability</w:t>
            </w:r>
          </w:p>
        </w:tc>
        <w:tc>
          <w:tcPr>
            <w:tcW w:type="dxa" w:w="1872"/>
          </w:tcPr>
          <w:p>
            <w:r>
              <w:rPr>
                <w:sz w:val="18"/>
              </w:rPr>
            </w:r>
          </w:p>
        </w:tc>
        <w:tc>
          <w:tcPr>
            <w:tcW w:type="dxa" w:w="2304"/>
          </w:tcPr>
          <w:p>
            <w:r>
              <w:rPr>
                <w:sz w:val="18"/>
              </w:rPr>
            </w:r>
          </w:p>
        </w:tc>
        <w:tc>
          <w:tcPr>
            <w:tcW w:type="dxa" w:w="2304"/>
          </w:tcPr>
          <w:p>
            <w:r>
              <w:rPr>
                <w:sz w:val="18"/>
              </w:rPr>
            </w:r>
          </w:p>
        </w:tc>
      </w:tr>
      <w:tr>
        <w:tc>
          <w:tcPr>
            <w:tcW w:type="dxa" w:w="2304"/>
          </w:tcPr>
          <w:p>
            <w:r>
              <w:rPr>
                <w:sz w:val="18"/>
              </w:rPr>
              <w:t>Compliance</w:t>
            </w:r>
          </w:p>
        </w:tc>
        <w:tc>
          <w:tcPr>
            <w:tcW w:type="dxa" w:w="1872"/>
          </w:tcPr>
          <w:p>
            <w:r>
              <w:rPr>
                <w:sz w:val="18"/>
              </w:rPr>
            </w:r>
          </w:p>
        </w:tc>
        <w:tc>
          <w:tcPr>
            <w:tcW w:type="dxa" w:w="2304"/>
          </w:tcPr>
          <w:p>
            <w:r>
              <w:rPr>
                <w:sz w:val="18"/>
              </w:rPr>
            </w:r>
          </w:p>
        </w:tc>
        <w:tc>
          <w:tcPr>
            <w:tcW w:type="dxa" w:w="2304"/>
          </w:tcPr>
          <w:p>
            <w:r>
              <w:rPr>
                <w:sz w:val="18"/>
              </w:rPr>
            </w:r>
          </w:p>
        </w:tc>
      </w:tr>
      <w:tr>
        <w:tc>
          <w:tcPr>
            <w:tcW w:type="dxa" w:w="2304"/>
          </w:tcPr>
          <w:p>
            <w:r>
              <w:rPr>
                <w:sz w:val="18"/>
              </w:rPr>
              <w:t>Economics</w:t>
            </w:r>
          </w:p>
        </w:tc>
        <w:tc>
          <w:tcPr>
            <w:tcW w:type="dxa" w:w="1872"/>
          </w:tcPr>
          <w:p>
            <w:r>
              <w:rPr>
                <w:sz w:val="18"/>
              </w:rPr>
            </w:r>
          </w:p>
        </w:tc>
        <w:tc>
          <w:tcPr>
            <w:tcW w:type="dxa" w:w="2304"/>
          </w:tcPr>
          <w:p>
            <w:r>
              <w:rPr>
                <w:sz w:val="18"/>
              </w:rPr>
            </w:r>
          </w:p>
        </w:tc>
        <w:tc>
          <w:tcPr>
            <w:tcW w:type="dxa" w:w="2304"/>
          </w:tcPr>
          <w:p>
            <w:r>
              <w:rPr>
                <w:sz w:val="18"/>
              </w:rPr>
            </w:r>
          </w:p>
        </w:tc>
      </w:tr>
    </w:tbl>
    <w:p/>
    <w:tbl>
      <w:tblPr>
        <w:tblStyle w:val="TableGrid"/>
        <w:tblW w:type="auto" w:w="0"/>
        <w:tblLook w:firstColumn="1" w:firstRow="1" w:lastColumn="0" w:lastRow="0" w:noHBand="0" w:noVBand="1" w:val="04A0"/>
      </w:tblPr>
      <w:tblGrid>
        <w:gridCol w:w="9792"/>
      </w:tblGrid>
      <w:tr>
        <w:tc>
          <w:tcPr>
            <w:tcW w:type="dxa" w:w="9792"/>
            <w:shd w:val="clear" w:fill="FFF9E6"/>
          </w:tcPr>
          <w:p>
            <w:r>
              <w:rPr>
                <w:b/>
                <w:color w:val="1A2A3A"/>
                <w:sz w:val="20"/>
              </w:rPr>
              <w:t>The rule that makes this worth doing</w:t>
            </w:r>
          </w:p>
          <w:p>
            <w:r>
              <w:rPr>
                <w:sz w:val="20"/>
              </w:rPr>
              <w:t>A workload with an unanswered PLACE question does not get infrastructure. Not because the answer will always be favourable, but because an unanswered question becomes an assumption, and an assumption becomes a migration two years later at the worst possible moment. Record refusals as decisions: a workload placed with a known compliance gap and a named executive accepting the risk is governed. The same workload placed without anybody noticing is not.</w:t>
            </w:r>
          </w:p>
        </w:tc>
      </w:tr>
    </w:tbl>
    <w:p/>
    <w:p>
      <w:pPr>
        <w:spacing w:after="60"/>
      </w:pPr>
      <w:r>
        <w:rPr>
          <w:b/>
          <w:sz w:val="20"/>
        </w:rPr>
        <w:t xml:space="preserve">Placement approved: </w:t>
      </w:r>
      <w:r>
        <w:rPr>
          <w:color w:val="6B7785"/>
          <w:sz w:val="20"/>
        </w:rPr>
        <w:t>[ to be completed ]</w:t>
      </w:r>
    </w:p>
    <w:p>
      <w:pPr>
        <w:spacing w:after="60"/>
      </w:pPr>
      <w:r>
        <w:rPr>
          <w:b/>
          <w:sz w:val="20"/>
        </w:rPr>
        <w:t xml:space="preserve">Approved by and date: </w:t>
      </w:r>
      <w:r>
        <w:rPr>
          <w:color w:val="6B7785"/>
          <w:sz w:val="20"/>
        </w:rPr>
        <w:t>[ to be completed ]</w:t>
      </w:r>
    </w:p>
    <w:p>
      <w:pPr>
        <w:spacing w:after="60"/>
      </w:pPr>
      <w:r>
        <w:rPr>
          <w:b/>
          <w:sz w:val="20"/>
        </w:rPr>
        <w:t xml:space="preserve">Risks accepted, and by whom: </w:t>
      </w:r>
      <w:r>
        <w:rPr>
          <w:color w:val="6B7785"/>
          <w:sz w:val="20"/>
        </w:rPr>
        <w:t>[ to be completed ]</w:t>
      </w:r>
    </w:p>
    <w:p>
      <w:pPr>
        <w:spacing w:before="320" w:after="120"/>
      </w:pPr>
      <w:r>
        <w:rPr>
          <w:b/>
          <w:color w:val="1A2A3A"/>
          <w:sz w:val="27"/>
        </w:rPr>
        <w:t>4. The Five Vendor Sovereignty Questions</w:t>
      </w:r>
    </w:p>
    <w:p>
      <w:r>
        <w:rPr>
          <w:i w:val="0"/>
          <w:sz w:val="21"/>
        </w:rPr>
        <w:t>From Chapter 14. Every model selection decision answers these five, structured to mirror the Sovereignty Clock dimensions. They have no universal right answers, only the right answers for this workload, jurisdiction and risk profile.</w:t>
      </w:r>
    </w:p>
    <w:tbl>
      <w:tblPr>
        <w:tblStyle w:val="TableGrid"/>
        <w:tblW w:type="auto" w:w="0"/>
        <w:jc w:val="center"/>
        <w:tblLook w:firstColumn="1" w:firstRow="1" w:lastColumn="0" w:lastRow="0" w:noHBand="0" w:noVBand="1" w:val="04A0"/>
      </w:tblPr>
      <w:tblGrid>
        <w:gridCol w:w="3264"/>
        <w:gridCol w:w="3264"/>
        <w:gridCol w:w="3264"/>
      </w:tblGrid>
      <w:tr>
        <w:tc>
          <w:tcPr>
            <w:tcW w:type="dxa" w:w="2160"/>
            <w:shd w:val="clear" w:fill="1A2A3A"/>
          </w:tcPr>
          <w:p>
            <w:r>
              <w:rPr>
                <w:b/>
                <w:color w:val="FFFFFF"/>
                <w:sz w:val="17"/>
              </w:rPr>
              <w:t>Question</w:t>
            </w:r>
          </w:p>
        </w:tc>
        <w:tc>
          <w:tcPr>
            <w:tcW w:type="dxa" w:w="5040"/>
            <w:shd w:val="clear" w:fill="1A2A3A"/>
          </w:tcPr>
          <w:p>
            <w:r>
              <w:rPr>
                <w:b/>
                <w:color w:val="FFFFFF"/>
                <w:sz w:val="17"/>
              </w:rPr>
              <w:t>What to establish</w:t>
            </w:r>
          </w:p>
        </w:tc>
        <w:tc>
          <w:tcPr>
            <w:tcW w:type="dxa" w:w="2880"/>
            <w:shd w:val="clear" w:fill="1A2A3A"/>
          </w:tcPr>
          <w:p>
            <w:r>
              <w:rPr>
                <w:b/>
                <w:color w:val="FFFFFF"/>
                <w:sz w:val="17"/>
              </w:rPr>
              <w:t>Your answer</w:t>
            </w:r>
          </w:p>
        </w:tc>
      </w:tr>
      <w:tr>
        <w:tc>
          <w:tcPr>
            <w:tcW w:type="dxa" w:w="2160"/>
          </w:tcPr>
          <w:p>
            <w:r>
              <w:rPr>
                <w:sz w:val="18"/>
              </w:rPr>
              <w:t>Jurisdiction</w:t>
            </w:r>
          </w:p>
        </w:tc>
        <w:tc>
          <w:tcPr>
            <w:tcW w:type="dxa" w:w="5040"/>
          </w:tcPr>
          <w:p>
            <w:r>
              <w:rPr>
                <w:sz w:val="18"/>
              </w:rPr>
              <w:t>Under which legal framework does the model provider operate, and how does that framework interact with the regulations governing your data</w:t>
            </w:r>
          </w:p>
        </w:tc>
        <w:tc>
          <w:tcPr>
            <w:tcW w:type="dxa" w:w="2880"/>
          </w:tcPr>
          <w:p>
            <w:r>
              <w:rPr>
                <w:sz w:val="18"/>
              </w:rPr>
            </w:r>
          </w:p>
        </w:tc>
      </w:tr>
      <w:tr>
        <w:tc>
          <w:tcPr>
            <w:tcW w:type="dxa" w:w="2160"/>
          </w:tcPr>
          <w:p>
            <w:r>
              <w:rPr>
                <w:sz w:val="18"/>
              </w:rPr>
              <w:t>Weight openness</w:t>
            </w:r>
          </w:p>
        </w:tc>
        <w:tc>
          <w:tcPr>
            <w:tcW w:type="dxa" w:w="5040"/>
          </w:tcPr>
          <w:p>
            <w:r>
              <w:rPr>
                <w:sz w:val="18"/>
              </w:rPr>
              <w:t>Are the model weights available to your organization for inspection, modification and deployment outside the provider's infrastructure</w:t>
            </w:r>
          </w:p>
        </w:tc>
        <w:tc>
          <w:tcPr>
            <w:tcW w:type="dxa" w:w="2880"/>
          </w:tcPr>
          <w:p>
            <w:r>
              <w:rPr>
                <w:sz w:val="18"/>
              </w:rPr>
            </w:r>
          </w:p>
        </w:tc>
      </w:tr>
      <w:tr>
        <w:tc>
          <w:tcPr>
            <w:tcW w:type="dxa" w:w="2160"/>
          </w:tcPr>
          <w:p>
            <w:r>
              <w:rPr>
                <w:sz w:val="18"/>
              </w:rPr>
              <w:t>Modification rights</w:t>
            </w:r>
          </w:p>
        </w:tc>
        <w:tc>
          <w:tcPr>
            <w:tcW w:type="dxa" w:w="5040"/>
          </w:tcPr>
          <w:p>
            <w:r>
              <w:rPr>
                <w:sz w:val="18"/>
              </w:rPr>
              <w:t>Can you fine tune, customize or extend the model on your own data without ceding rights to those modifications</w:t>
            </w:r>
          </w:p>
        </w:tc>
        <w:tc>
          <w:tcPr>
            <w:tcW w:type="dxa" w:w="2880"/>
          </w:tcPr>
          <w:p>
            <w:r>
              <w:rPr>
                <w:sz w:val="18"/>
              </w:rPr>
            </w:r>
          </w:p>
        </w:tc>
      </w:tr>
      <w:tr>
        <w:tc>
          <w:tcPr>
            <w:tcW w:type="dxa" w:w="2160"/>
          </w:tcPr>
          <w:p>
            <w:r>
              <w:rPr>
                <w:sz w:val="18"/>
              </w:rPr>
              <w:t>Infrastructure independence</w:t>
            </w:r>
          </w:p>
        </w:tc>
        <w:tc>
          <w:tcPr>
            <w:tcW w:type="dxa" w:w="5040"/>
          </w:tcPr>
          <w:p>
            <w:r>
              <w:rPr>
                <w:sz w:val="18"/>
              </w:rPr>
              <w:t>Can the model run on your own infrastructure, on a sovereign cloud of your choice, or only on the provider's stack</w:t>
            </w:r>
          </w:p>
        </w:tc>
        <w:tc>
          <w:tcPr>
            <w:tcW w:type="dxa" w:w="2880"/>
          </w:tcPr>
          <w:p>
            <w:r>
              <w:rPr>
                <w:sz w:val="18"/>
              </w:rPr>
            </w:r>
          </w:p>
        </w:tc>
      </w:tr>
      <w:tr>
        <w:tc>
          <w:tcPr>
            <w:tcW w:type="dxa" w:w="2160"/>
          </w:tcPr>
          <w:p>
            <w:r>
              <w:rPr>
                <w:sz w:val="18"/>
              </w:rPr>
              <w:t>Exit readiness</w:t>
            </w:r>
          </w:p>
        </w:tc>
        <w:tc>
          <w:tcPr>
            <w:tcW w:type="dxa" w:w="5040"/>
          </w:tcPr>
          <w:p>
            <w:r>
              <w:rPr>
                <w:sz w:val="18"/>
              </w:rPr>
              <w:t>How do you migrate away if the provider changes terms, raises prices, exits the market or faces sanctions</w:t>
            </w:r>
          </w:p>
        </w:tc>
        <w:tc>
          <w:tcPr>
            <w:tcW w:type="dxa" w:w="2880"/>
          </w:tcPr>
          <w:p>
            <w:r>
              <w:rPr>
                <w:sz w:val="18"/>
              </w:rPr>
            </w:r>
          </w:p>
        </w:tc>
      </w:tr>
    </w:tbl>
    <w:p/>
    <w:tbl>
      <w:tblPr>
        <w:tblStyle w:val="TableGrid"/>
        <w:tblW w:type="auto" w:w="0"/>
        <w:tblLook w:firstColumn="1" w:firstRow="1" w:lastColumn="0" w:lastRow="0" w:noHBand="0" w:noVBand="1" w:val="04A0"/>
      </w:tblPr>
      <w:tblGrid>
        <w:gridCol w:w="9792"/>
      </w:tblGrid>
      <w:tr>
        <w:tc>
          <w:tcPr>
            <w:tcW w:type="dxa" w:w="9792"/>
            <w:shd w:val="clear" w:fill="EEF2F7"/>
          </w:tcPr>
          <w:p>
            <w:r>
              <w:rPr>
                <w:b/>
                <w:color w:val="1A2A3A"/>
                <w:sz w:val="20"/>
              </w:rPr>
              <w:t>On exit readiness</w:t>
            </w:r>
          </w:p>
          <w:p>
            <w:r>
              <w:rPr>
                <w:sz w:val="20"/>
              </w:rPr>
              <w:t>This is the same question Chapter 14 of When Clouds Fail established for cloud providers, and it now applies equally to model providers. It is also the question most likely to be answered with a plan that has never been tested. If you have not moved a workload between model providers, your exit readiness answer is a hypothesis.</w:t>
            </w:r>
          </w:p>
        </w:tc>
      </w:tr>
    </w:tbl>
    <w:p/>
    <w:p>
      <w:pPr>
        <w:spacing w:before="320" w:after="120"/>
      </w:pPr>
      <w:r>
        <w:rPr>
          <w:b/>
          <w:color w:val="1A2A3A"/>
          <w:sz w:val="27"/>
        </w:rPr>
        <w:t>Basis and Limits</w:t>
      </w:r>
    </w:p>
    <w:p>
      <w:r>
        <w:rPr>
          <w:i/>
          <w:sz w:val="19"/>
        </w:rPr>
        <w:t>This instrument is a working template from the companion toolkit to When Agents Rule by Steven Oppenheim. It is blank by design: it provides the structure, the questions and the tests, and you provide the content. It is not an audit, a certification or a benchmark, and it is not legal, technical or financial advice. Placement and sovereignty conclusions depend on legal analysis of your own contracts and jurisdictions, which belongs to counsel. Every regulatory reference must be verified against the primary text, and dates in this area have moved once already. Free for internal use inside your own organization; see the usage policy for redistribution.</w:t>
      </w:r>
    </w:p>
    <w:sectPr w:rsidR="00FC693F" w:rsidRPr="0006063C" w:rsidSect="00034616">
      <w:pgSz w:w="12240" w:h="15840"/>
      <w:pgMar w:top="1152"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