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A227"/>
          <w:sz w:val="18"/>
        </w:rPr>
        <w:t>WHEN AGENTS RULE  //  COMPANION TOOLKIT</w:t>
      </w:r>
    </w:p>
    <w:p>
      <w:pPr>
        <w:jc w:val="center"/>
      </w:pPr>
      <w:r>
        <w:rPr>
          <w:b/>
          <w:color w:val="1A2A3A"/>
          <w:sz w:val="42"/>
        </w:rPr>
        <w:t>Toolkit Index and Implementation Sequence</w:t>
      </w:r>
    </w:p>
    <w:p>
      <w:pPr>
        <w:jc w:val="center"/>
      </w:pPr>
      <w:r>
        <w:rPr>
          <w:i/>
          <w:color w:val="6B7785"/>
          <w:sz w:val="22"/>
        </w:rPr>
        <w:t>Twenty two instruments, which one to use when, and the ninety day sequence that puts them in the right order</w:t>
      </w:r>
    </w:p>
    <w:p>
      <w:pPr>
        <w:jc w:val="center"/>
      </w:pPr>
      <w:r>
        <w:rPr>
          <w:color w:val="6B7785"/>
          <w:sz w:val="17"/>
        </w:rPr>
        <w:t>Companion toolkit, second edition, 15 September 2026  //  Supersedes the nine instrument index</w:t>
      </w:r>
    </w:p>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What changed in this edition</w:t>
            </w:r>
          </w:p>
          <w:p>
            <w:r>
              <w:rPr>
                <w:sz w:val="20"/>
              </w:rPr>
              <w:t>The toolkit has grown from nine instruments to twenty two. Ten were already scheduled. Three are new and were added after a September 2026 industry review, because a named artefact requirement appeared that none of the original nine covered: a Cryptographic Bill of Materials under Executive Order 14412, serious incident and post market monitoring under Articles 72 and 73, and a framework crosswalk, which published analysis now treats as a procurement gate rather than a nicety. This index supersedes the previous one; discard the nine instrument version.</w:t>
            </w:r>
          </w:p>
        </w:tc>
      </w:tr>
    </w:tbl>
    <w:p/>
    <w:p>
      <w:pPr>
        <w:spacing w:before="320" w:after="120"/>
      </w:pPr>
      <w:r>
        <w:rPr>
          <w:b/>
          <w:color w:val="1A2A3A"/>
          <w:sz w:val="27"/>
        </w:rPr>
        <w:t>1. The Twenty Two Instruments</w:t>
      </w:r>
    </w:p>
    <w:p>
      <w:r>
        <w:rPr>
          <w:i w:val="0"/>
          <w:sz w:val="21"/>
        </w:rPr>
        <w:t>Four groups, matching the four quadrants of the Sovereignty Clock plus execution. The Status column tells you whether an instrument is a register you maintain, a model you run, a template you complete once per system, or a runbook you rehearse.</w:t>
      </w:r>
    </w:p>
    <w:p>
      <w:pPr>
        <w:spacing w:before="220" w:after="80"/>
      </w:pPr>
      <w:r>
        <w:rPr>
          <w:b/>
          <w:color w:val="1A2A3A"/>
          <w:sz w:val="22"/>
        </w:rPr>
        <w:t>Agent Governance</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4320"/>
            <w:shd w:val="clear" w:fill="1A2A3A"/>
          </w:tcPr>
          <w:p>
            <w:r>
              <w:rPr>
                <w:b/>
                <w:color w:val="FFFFFF"/>
                <w:sz w:val="17"/>
              </w:rPr>
              <w:t>Instrument</w:t>
            </w:r>
          </w:p>
        </w:tc>
        <w:tc>
          <w:tcPr>
            <w:tcW w:type="dxa" w:w="2160"/>
            <w:shd w:val="clear" w:fill="1A2A3A"/>
          </w:tcPr>
          <w:p>
            <w:r>
              <w:rPr>
                <w:b/>
                <w:color w:val="FFFFFF"/>
                <w:sz w:val="17"/>
              </w:rPr>
              <w:t>Kind</w:t>
            </w:r>
          </w:p>
        </w:tc>
        <w:tc>
          <w:tcPr>
            <w:tcW w:type="dxa" w:w="4320"/>
            <w:shd w:val="clear" w:fill="1A2A3A"/>
          </w:tcPr>
          <w:p>
            <w:r>
              <w:rPr>
                <w:b/>
                <w:color w:val="FFFFFF"/>
                <w:sz w:val="17"/>
              </w:rPr>
              <w:t>Use it when</w:t>
            </w:r>
          </w:p>
        </w:tc>
        <w:tc>
          <w:tcPr>
            <w:tcW w:type="dxa" w:w="1440"/>
            <w:shd w:val="clear" w:fill="1A2A3A"/>
          </w:tcPr>
          <w:p>
            <w:r>
              <w:rPr>
                <w:b/>
                <w:color w:val="FFFFFF"/>
                <w:sz w:val="17"/>
              </w:rPr>
              <w:t>Chapters</w:t>
            </w:r>
          </w:p>
        </w:tc>
      </w:tr>
      <w:tr>
        <w:tc>
          <w:tcPr>
            <w:tcW w:type="dxa" w:w="4320"/>
          </w:tcPr>
          <w:p>
            <w:r>
              <w:rPr>
                <w:sz w:val="18"/>
              </w:rPr>
              <w:t>Agent Inventory and Classification Workbook</w:t>
            </w:r>
          </w:p>
        </w:tc>
        <w:tc>
          <w:tcPr>
            <w:tcW w:type="dxa" w:w="2160"/>
          </w:tcPr>
          <w:p>
            <w:r>
              <w:rPr>
                <w:sz w:val="18"/>
              </w:rPr>
              <w:t>Register, maintained</w:t>
            </w:r>
          </w:p>
        </w:tc>
        <w:tc>
          <w:tcPr>
            <w:tcW w:type="dxa" w:w="4320"/>
          </w:tcPr>
          <w:p>
            <w:r>
              <w:rPr>
                <w:sz w:val="18"/>
              </w:rPr>
              <w:t>First. Everything else depends on it</w:t>
            </w:r>
          </w:p>
        </w:tc>
        <w:tc>
          <w:tcPr>
            <w:tcW w:type="dxa" w:w="1440"/>
          </w:tcPr>
          <w:p>
            <w:r>
              <w:rPr>
                <w:sz w:val="18"/>
              </w:rPr>
              <w:t>1, 4, 5</w:t>
            </w:r>
          </w:p>
        </w:tc>
      </w:tr>
      <w:tr>
        <w:tc>
          <w:tcPr>
            <w:tcW w:type="dxa" w:w="4320"/>
          </w:tcPr>
          <w:p>
            <w:r>
              <w:rPr>
                <w:sz w:val="18"/>
              </w:rPr>
              <w:t>Agent Governance Charter Template</w:t>
            </w:r>
          </w:p>
        </w:tc>
        <w:tc>
          <w:tcPr>
            <w:tcW w:type="dxa" w:w="2160"/>
          </w:tcPr>
          <w:p>
            <w:r>
              <w:rPr>
                <w:sz w:val="18"/>
              </w:rPr>
              <w:t>Policy, once</w:t>
            </w:r>
          </w:p>
        </w:tc>
        <w:tc>
          <w:tcPr>
            <w:tcW w:type="dxa" w:w="4320"/>
          </w:tcPr>
          <w:p>
            <w:r>
              <w:rPr>
                <w:sz w:val="18"/>
              </w:rPr>
              <w:t>Standing up the council and the approval gates</w:t>
            </w:r>
          </w:p>
        </w:tc>
        <w:tc>
          <w:tcPr>
            <w:tcW w:type="dxa" w:w="1440"/>
          </w:tcPr>
          <w:p>
            <w:r>
              <w:rPr>
                <w:sz w:val="18"/>
              </w:rPr>
              <w:t>12</w:t>
            </w:r>
          </w:p>
        </w:tc>
      </w:tr>
      <w:tr>
        <w:tc>
          <w:tcPr>
            <w:tcW w:type="dxa" w:w="4320"/>
          </w:tcPr>
          <w:p>
            <w:r>
              <w:rPr>
                <w:sz w:val="18"/>
              </w:rPr>
              <w:t>Agent Containment and Kill Switch Procedure</w:t>
            </w:r>
          </w:p>
        </w:tc>
        <w:tc>
          <w:tcPr>
            <w:tcW w:type="dxa" w:w="2160"/>
          </w:tcPr>
          <w:p>
            <w:r>
              <w:rPr>
                <w:sz w:val="18"/>
              </w:rPr>
              <w:t>Runbook, rehearsed</w:t>
            </w:r>
          </w:p>
        </w:tc>
        <w:tc>
          <w:tcPr>
            <w:tcW w:type="dxa" w:w="4320"/>
          </w:tcPr>
          <w:p>
            <w:r>
              <w:rPr>
                <w:sz w:val="18"/>
              </w:rPr>
              <w:t>Before any L3 or above goes live</w:t>
            </w:r>
          </w:p>
        </w:tc>
        <w:tc>
          <w:tcPr>
            <w:tcW w:type="dxa" w:w="1440"/>
          </w:tcPr>
          <w:p>
            <w:r>
              <w:rPr>
                <w:sz w:val="18"/>
              </w:rPr>
              <w:t>5, 12</w:t>
            </w:r>
          </w:p>
        </w:tc>
      </w:tr>
      <w:tr>
        <w:tc>
          <w:tcPr>
            <w:tcW w:type="dxa" w:w="4320"/>
          </w:tcPr>
          <w:p>
            <w:r>
              <w:rPr>
                <w:sz w:val="18"/>
              </w:rPr>
              <w:t>Agent Decision Log, Audit Trail and Identity Register</w:t>
            </w:r>
          </w:p>
        </w:tc>
        <w:tc>
          <w:tcPr>
            <w:tcW w:type="dxa" w:w="2160"/>
          </w:tcPr>
          <w:p>
            <w:r>
              <w:rPr>
                <w:sz w:val="18"/>
              </w:rPr>
              <w:t>Register, maintained</w:t>
            </w:r>
          </w:p>
        </w:tc>
        <w:tc>
          <w:tcPr>
            <w:tcW w:type="dxa" w:w="4320"/>
          </w:tcPr>
          <w:p>
            <w:r>
              <w:rPr>
                <w:sz w:val="18"/>
              </w:rPr>
              <w:t>When any agent reaches L3, and for every credential</w:t>
            </w:r>
          </w:p>
        </w:tc>
        <w:tc>
          <w:tcPr>
            <w:tcW w:type="dxa" w:w="1440"/>
          </w:tcPr>
          <w:p>
            <w:r>
              <w:rPr>
                <w:sz w:val="18"/>
              </w:rPr>
              <w:t>5, 8</w:t>
            </w:r>
          </w:p>
        </w:tc>
      </w:tr>
      <w:tr>
        <w:tc>
          <w:tcPr>
            <w:tcW w:type="dxa" w:w="4320"/>
          </w:tcPr>
          <w:p>
            <w:r>
              <w:rPr>
                <w:sz w:val="18"/>
              </w:rPr>
              <w:t>Agent Reliability Contract and Error Budget Charter</w:t>
            </w:r>
          </w:p>
        </w:tc>
        <w:tc>
          <w:tcPr>
            <w:tcW w:type="dxa" w:w="2160"/>
          </w:tcPr>
          <w:p>
            <w:r>
              <w:rPr>
                <w:sz w:val="18"/>
              </w:rPr>
              <w:t>Contract, per deployment</w:t>
            </w:r>
          </w:p>
        </w:tc>
        <w:tc>
          <w:tcPr>
            <w:tcW w:type="dxa" w:w="4320"/>
          </w:tcPr>
          <w:p>
            <w:r>
              <w:rPr>
                <w:sz w:val="18"/>
              </w:rPr>
              <w:t>At each L3 or above deployment, and on any autonomy change</w:t>
            </w:r>
          </w:p>
        </w:tc>
        <w:tc>
          <w:tcPr>
            <w:tcW w:type="dxa" w:w="1440"/>
          </w:tcPr>
          <w:p>
            <w:r>
              <w:rPr>
                <w:sz w:val="18"/>
              </w:rPr>
              <w:t>15</w:t>
            </w:r>
          </w:p>
        </w:tc>
      </w:tr>
    </w:tbl>
    <w:p/>
    <w:p>
      <w:pPr>
        <w:spacing w:before="220" w:after="80"/>
      </w:pPr>
      <w:r>
        <w:rPr>
          <w:b/>
          <w:color w:val="1A2A3A"/>
          <w:sz w:val="22"/>
        </w:rPr>
        <w:t>Quantum Readiness</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4320"/>
            <w:shd w:val="clear" w:fill="1A2A3A"/>
          </w:tcPr>
          <w:p>
            <w:r>
              <w:rPr>
                <w:b/>
                <w:color w:val="FFFFFF"/>
                <w:sz w:val="17"/>
              </w:rPr>
              <w:t>Instrument</w:t>
            </w:r>
          </w:p>
        </w:tc>
        <w:tc>
          <w:tcPr>
            <w:tcW w:type="dxa" w:w="2160"/>
            <w:shd w:val="clear" w:fill="1A2A3A"/>
          </w:tcPr>
          <w:p>
            <w:r>
              <w:rPr>
                <w:b/>
                <w:color w:val="FFFFFF"/>
                <w:sz w:val="17"/>
              </w:rPr>
              <w:t>Kind</w:t>
            </w:r>
          </w:p>
        </w:tc>
        <w:tc>
          <w:tcPr>
            <w:tcW w:type="dxa" w:w="4320"/>
            <w:shd w:val="clear" w:fill="1A2A3A"/>
          </w:tcPr>
          <w:p>
            <w:r>
              <w:rPr>
                <w:b/>
                <w:color w:val="FFFFFF"/>
                <w:sz w:val="17"/>
              </w:rPr>
              <w:t>Use it when</w:t>
            </w:r>
          </w:p>
        </w:tc>
        <w:tc>
          <w:tcPr>
            <w:tcW w:type="dxa" w:w="1440"/>
            <w:shd w:val="clear" w:fill="1A2A3A"/>
          </w:tcPr>
          <w:p>
            <w:r>
              <w:rPr>
                <w:b/>
                <w:color w:val="FFFFFF"/>
                <w:sz w:val="17"/>
              </w:rPr>
              <w:t>Chapters</w:t>
            </w:r>
          </w:p>
        </w:tc>
      </w:tr>
      <w:tr>
        <w:tc>
          <w:tcPr>
            <w:tcW w:type="dxa" w:w="4320"/>
          </w:tcPr>
          <w:p>
            <w:r>
              <w:rPr>
                <w:sz w:val="18"/>
              </w:rPr>
              <w:t>Cryptographic Census and Quantum Migration Workbook</w:t>
            </w:r>
          </w:p>
        </w:tc>
        <w:tc>
          <w:tcPr>
            <w:tcW w:type="dxa" w:w="2160"/>
          </w:tcPr>
          <w:p>
            <w:r>
              <w:rPr>
                <w:sz w:val="18"/>
              </w:rPr>
              <w:t>Register, maintained</w:t>
            </w:r>
          </w:p>
        </w:tc>
        <w:tc>
          <w:tcPr>
            <w:tcW w:type="dxa" w:w="4320"/>
          </w:tcPr>
          <w:p>
            <w:r>
              <w:rPr>
                <w:sz w:val="18"/>
              </w:rPr>
              <w:t>First in this group. Nothing else works without it</w:t>
            </w:r>
          </w:p>
        </w:tc>
        <w:tc>
          <w:tcPr>
            <w:tcW w:type="dxa" w:w="1440"/>
          </w:tcPr>
          <w:p>
            <w:r>
              <w:rPr>
                <w:sz w:val="18"/>
              </w:rPr>
              <w:t>2, 6, 13</w:t>
            </w:r>
          </w:p>
        </w:tc>
      </w:tr>
      <w:tr>
        <w:tc>
          <w:tcPr>
            <w:tcW w:type="dxa" w:w="4320"/>
          </w:tcPr>
          <w:p>
            <w:r>
              <w:rPr>
                <w:sz w:val="18"/>
              </w:rPr>
              <w:t>Vendor Post Quantum Readiness Questionnaire</w:t>
            </w:r>
          </w:p>
        </w:tc>
        <w:tc>
          <w:tcPr>
            <w:tcW w:type="dxa" w:w="2160"/>
          </w:tcPr>
          <w:p>
            <w:r>
              <w:rPr>
                <w:sz w:val="18"/>
              </w:rPr>
              <w:t>Template, per supplier</w:t>
            </w:r>
          </w:p>
        </w:tc>
        <w:tc>
          <w:tcPr>
            <w:tcW w:type="dxa" w:w="4320"/>
          </w:tcPr>
          <w:p>
            <w:r>
              <w:rPr>
                <w:sz w:val="18"/>
              </w:rPr>
              <w:t>At every renewal and every new selection</w:t>
            </w:r>
          </w:p>
        </w:tc>
        <w:tc>
          <w:tcPr>
            <w:tcW w:type="dxa" w:w="1440"/>
          </w:tcPr>
          <w:p>
            <w:r>
              <w:rPr>
                <w:sz w:val="18"/>
              </w:rPr>
              <w:t>13, 14</w:t>
            </w:r>
          </w:p>
        </w:tc>
      </w:tr>
      <w:tr>
        <w:tc>
          <w:tcPr>
            <w:tcW w:type="dxa" w:w="4320"/>
          </w:tcPr>
          <w:p>
            <w:r>
              <w:rPr>
                <w:sz w:val="18"/>
              </w:rPr>
              <w:t>Five Year Quantum Migration Roadmap</w:t>
            </w:r>
          </w:p>
        </w:tc>
        <w:tc>
          <w:tcPr>
            <w:tcW w:type="dxa" w:w="2160"/>
          </w:tcPr>
          <w:p>
            <w:r>
              <w:rPr>
                <w:sz w:val="18"/>
              </w:rPr>
              <w:t>Plan, maintained</w:t>
            </w:r>
          </w:p>
        </w:tc>
        <w:tc>
          <w:tcPr>
            <w:tcW w:type="dxa" w:w="4320"/>
          </w:tcPr>
          <w:p>
            <w:r>
              <w:rPr>
                <w:sz w:val="18"/>
              </w:rPr>
              <w:t>Once the census is at least partly populated</w:t>
            </w:r>
          </w:p>
        </w:tc>
        <w:tc>
          <w:tcPr>
            <w:tcW w:type="dxa" w:w="1440"/>
          </w:tcPr>
          <w:p>
            <w:r>
              <w:rPr>
                <w:sz w:val="18"/>
              </w:rPr>
              <w:t>11, 13</w:t>
            </w:r>
          </w:p>
        </w:tc>
      </w:tr>
      <w:tr>
        <w:tc>
          <w:tcPr>
            <w:tcW w:type="dxa" w:w="4320"/>
          </w:tcPr>
          <w:p>
            <w:r>
              <w:rPr>
                <w:sz w:val="18"/>
              </w:rPr>
              <w:t>Cryptographic Bill of Materials and FIPS 140-3 Readiness</w:t>
            </w:r>
          </w:p>
        </w:tc>
        <w:tc>
          <w:tcPr>
            <w:tcW w:type="dxa" w:w="2160"/>
          </w:tcPr>
          <w:p>
            <w:r>
              <w:rPr>
                <w:sz w:val="18"/>
              </w:rPr>
              <w:t>Register and assessment</w:t>
            </w:r>
          </w:p>
        </w:tc>
        <w:tc>
          <w:tcPr>
            <w:tcW w:type="dxa" w:w="4320"/>
          </w:tcPr>
          <w:p>
            <w:r>
              <w:rPr>
                <w:sz w:val="18"/>
              </w:rPr>
              <w:t>Now. The 140-3 procurement gate is already live</w:t>
            </w:r>
          </w:p>
        </w:tc>
        <w:tc>
          <w:tcPr>
            <w:tcW w:type="dxa" w:w="1440"/>
          </w:tcPr>
          <w:p>
            <w:r>
              <w:rPr>
                <w:sz w:val="18"/>
              </w:rPr>
              <w:t>6, 8, 13</w:t>
            </w:r>
          </w:p>
        </w:tc>
      </w:tr>
      <w:tr>
        <w:tc>
          <w:tcPr>
            <w:tcW w:type="dxa" w:w="4320"/>
          </w:tcPr>
          <w:p>
            <w:r>
              <w:rPr>
                <w:sz w:val="18"/>
              </w:rPr>
              <w:t>Quantum Readiness Board Brief Deck</w:t>
            </w:r>
          </w:p>
        </w:tc>
        <w:tc>
          <w:tcPr>
            <w:tcW w:type="dxa" w:w="2160"/>
          </w:tcPr>
          <w:p>
            <w:r>
              <w:rPr>
                <w:sz w:val="18"/>
              </w:rPr>
              <w:t>Deck, per briefing</w:t>
            </w:r>
          </w:p>
        </w:tc>
        <w:tc>
          <w:tcPr>
            <w:tcW w:type="dxa" w:w="4320"/>
          </w:tcPr>
          <w:p>
            <w:r>
              <w:rPr>
                <w:sz w:val="18"/>
              </w:rPr>
              <w:t>When you have figures worth presenting, not before</w:t>
            </w:r>
          </w:p>
        </w:tc>
        <w:tc>
          <w:tcPr>
            <w:tcW w:type="dxa" w:w="1440"/>
          </w:tcPr>
          <w:p>
            <w:r>
              <w:rPr>
                <w:sz w:val="18"/>
              </w:rPr>
              <w:t>2, 11, 13</w:t>
            </w:r>
          </w:p>
        </w:tc>
      </w:tr>
    </w:tbl>
    <w:p/>
    <w:p>
      <w:pPr>
        <w:spacing w:before="220" w:after="80"/>
      </w:pPr>
      <w:r>
        <w:rPr>
          <w:b/>
          <w:color w:val="1A2A3A"/>
          <w:sz w:val="22"/>
        </w:rPr>
        <w:t>Regulatory and Sovereignty</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4320"/>
            <w:shd w:val="clear" w:fill="1A2A3A"/>
          </w:tcPr>
          <w:p>
            <w:r>
              <w:rPr>
                <w:b/>
                <w:color w:val="FFFFFF"/>
                <w:sz w:val="17"/>
              </w:rPr>
              <w:t>Instrument</w:t>
            </w:r>
          </w:p>
        </w:tc>
        <w:tc>
          <w:tcPr>
            <w:tcW w:type="dxa" w:w="2160"/>
            <w:shd w:val="clear" w:fill="1A2A3A"/>
          </w:tcPr>
          <w:p>
            <w:r>
              <w:rPr>
                <w:b/>
                <w:color w:val="FFFFFF"/>
                <w:sz w:val="17"/>
              </w:rPr>
              <w:t>Kind</w:t>
            </w:r>
          </w:p>
        </w:tc>
        <w:tc>
          <w:tcPr>
            <w:tcW w:type="dxa" w:w="4320"/>
            <w:shd w:val="clear" w:fill="1A2A3A"/>
          </w:tcPr>
          <w:p>
            <w:r>
              <w:rPr>
                <w:b/>
                <w:color w:val="FFFFFF"/>
                <w:sz w:val="17"/>
              </w:rPr>
              <w:t>Use it when</w:t>
            </w:r>
          </w:p>
        </w:tc>
        <w:tc>
          <w:tcPr>
            <w:tcW w:type="dxa" w:w="1440"/>
            <w:shd w:val="clear" w:fill="1A2A3A"/>
          </w:tcPr>
          <w:p>
            <w:r>
              <w:rPr>
                <w:b/>
                <w:color w:val="FFFFFF"/>
                <w:sz w:val="17"/>
              </w:rPr>
              <w:t>Chapters</w:t>
            </w:r>
          </w:p>
        </w:tc>
      </w:tr>
      <w:tr>
        <w:tc>
          <w:tcPr>
            <w:tcW w:type="dxa" w:w="4320"/>
          </w:tcPr>
          <w:p>
            <w:r>
              <w:rPr>
                <w:sz w:val="18"/>
              </w:rPr>
              <w:t>Regulatory Obligation Register and Compliance Calendar</w:t>
            </w:r>
          </w:p>
        </w:tc>
        <w:tc>
          <w:tcPr>
            <w:tcW w:type="dxa" w:w="2160"/>
          </w:tcPr>
          <w:p>
            <w:r>
              <w:rPr>
                <w:sz w:val="18"/>
              </w:rPr>
              <w:t>Register, maintained</w:t>
            </w:r>
          </w:p>
        </w:tc>
        <w:tc>
          <w:tcPr>
            <w:tcW w:type="dxa" w:w="4320"/>
          </w:tcPr>
          <w:p>
            <w:r>
              <w:rPr>
                <w:sz w:val="18"/>
              </w:rPr>
              <w:t>First in this group</w:t>
            </w:r>
          </w:p>
        </w:tc>
        <w:tc>
          <w:tcPr>
            <w:tcW w:type="dxa" w:w="1440"/>
          </w:tcPr>
          <w:p>
            <w:r>
              <w:rPr>
                <w:sz w:val="18"/>
              </w:rPr>
              <w:t>3, 7, 14</w:t>
            </w:r>
          </w:p>
        </w:tc>
      </w:tr>
      <w:tr>
        <w:tc>
          <w:tcPr>
            <w:tcW w:type="dxa" w:w="4320"/>
          </w:tcPr>
          <w:p>
            <w:r>
              <w:rPr>
                <w:sz w:val="18"/>
              </w:rPr>
              <w:t>AIBOM Readiness Checklist</w:t>
            </w:r>
          </w:p>
        </w:tc>
        <w:tc>
          <w:tcPr>
            <w:tcW w:type="dxa" w:w="2160"/>
          </w:tcPr>
          <w:p>
            <w:r>
              <w:rPr>
                <w:sz w:val="18"/>
              </w:rPr>
              <w:t>Assessment, periodic</w:t>
            </w:r>
          </w:p>
        </w:tc>
        <w:tc>
          <w:tcPr>
            <w:tcW w:type="dxa" w:w="4320"/>
          </w:tcPr>
          <w:p>
            <w:r>
              <w:rPr>
                <w:sz w:val="18"/>
              </w:rPr>
              <w:t>Before a buyer or regulator asks for a bill of materials</w:t>
            </w:r>
          </w:p>
        </w:tc>
        <w:tc>
          <w:tcPr>
            <w:tcW w:type="dxa" w:w="1440"/>
          </w:tcPr>
          <w:p>
            <w:r>
              <w:rPr>
                <w:sz w:val="18"/>
              </w:rPr>
              <w:t>8</w:t>
            </w:r>
          </w:p>
        </w:tc>
      </w:tr>
      <w:tr>
        <w:tc>
          <w:tcPr>
            <w:tcW w:type="dxa" w:w="4320"/>
          </w:tcPr>
          <w:p>
            <w:r>
              <w:rPr>
                <w:sz w:val="18"/>
              </w:rPr>
              <w:t>Framework Crosswalk: EU AI Act, NIST AI RMF and ISO 42001</w:t>
            </w:r>
          </w:p>
        </w:tc>
        <w:tc>
          <w:tcPr>
            <w:tcW w:type="dxa" w:w="2160"/>
          </w:tcPr>
          <w:p>
            <w:r>
              <w:rPr>
                <w:sz w:val="18"/>
              </w:rPr>
              <w:t>Map, maintained</w:t>
            </w:r>
          </w:p>
        </w:tc>
        <w:tc>
          <w:tcPr>
            <w:tcW w:type="dxa" w:w="4320"/>
          </w:tcPr>
          <w:p>
            <w:r>
              <w:rPr>
                <w:sz w:val="18"/>
              </w:rPr>
              <w:t>Before answering any buyer questionnaire</w:t>
            </w:r>
          </w:p>
        </w:tc>
        <w:tc>
          <w:tcPr>
            <w:tcW w:type="dxa" w:w="1440"/>
          </w:tcPr>
          <w:p>
            <w:r>
              <w:rPr>
                <w:sz w:val="18"/>
              </w:rPr>
              <w:t>all</w:t>
            </w:r>
          </w:p>
        </w:tc>
      </w:tr>
      <w:tr>
        <w:tc>
          <w:tcPr>
            <w:tcW w:type="dxa" w:w="4320"/>
          </w:tcPr>
          <w:p>
            <w:r>
              <w:rPr>
                <w:sz w:val="18"/>
              </w:rPr>
              <w:t>Sovereign Stack 2.0 and PLACE Assessment Worksheet</w:t>
            </w:r>
          </w:p>
        </w:tc>
        <w:tc>
          <w:tcPr>
            <w:tcW w:type="dxa" w:w="2160"/>
          </w:tcPr>
          <w:p>
            <w:r>
              <w:rPr>
                <w:sz w:val="18"/>
              </w:rPr>
              <w:t>Template, per workload</w:t>
            </w:r>
          </w:p>
        </w:tc>
        <w:tc>
          <w:tcPr>
            <w:tcW w:type="dxa" w:w="4320"/>
          </w:tcPr>
          <w:p>
            <w:r>
              <w:rPr>
                <w:sz w:val="18"/>
              </w:rPr>
              <w:t>Before any workload gets infrastructure</w:t>
            </w:r>
          </w:p>
        </w:tc>
        <w:tc>
          <w:tcPr>
            <w:tcW w:type="dxa" w:w="1440"/>
          </w:tcPr>
          <w:p>
            <w:r>
              <w:rPr>
                <w:sz w:val="18"/>
              </w:rPr>
              <w:t>9, 14</w:t>
            </w:r>
          </w:p>
        </w:tc>
      </w:tr>
      <w:tr>
        <w:tc>
          <w:tcPr>
            <w:tcW w:type="dxa" w:w="4320"/>
          </w:tcPr>
          <w:p>
            <w:r>
              <w:rPr>
                <w:sz w:val="18"/>
              </w:rPr>
              <w:t>Human Oversight Design Template</w:t>
            </w:r>
          </w:p>
        </w:tc>
        <w:tc>
          <w:tcPr>
            <w:tcW w:type="dxa" w:w="2160"/>
          </w:tcPr>
          <w:p>
            <w:r>
              <w:rPr>
                <w:sz w:val="18"/>
              </w:rPr>
              <w:t>Template, per system</w:t>
            </w:r>
          </w:p>
        </w:tc>
        <w:tc>
          <w:tcPr>
            <w:tcW w:type="dxa" w:w="4320"/>
          </w:tcPr>
          <w:p>
            <w:r>
              <w:rPr>
                <w:sz w:val="18"/>
              </w:rPr>
              <w:t>When designing oversight, and quarterly thereafter</w:t>
            </w:r>
          </w:p>
        </w:tc>
        <w:tc>
          <w:tcPr>
            <w:tcW w:type="dxa" w:w="1440"/>
          </w:tcPr>
          <w:p>
            <w:r>
              <w:rPr>
                <w:sz w:val="18"/>
              </w:rPr>
              <w:t>12</w:t>
            </w:r>
          </w:p>
        </w:tc>
      </w:tr>
      <w:tr>
        <w:tc>
          <w:tcPr>
            <w:tcW w:type="dxa" w:w="4320"/>
          </w:tcPr>
          <w:p>
            <w:r>
              <w:rPr>
                <w:sz w:val="18"/>
              </w:rPr>
              <w:t>Regulatory Evidence Pack Template</w:t>
            </w:r>
          </w:p>
        </w:tc>
        <w:tc>
          <w:tcPr>
            <w:tcW w:type="dxa" w:w="2160"/>
          </w:tcPr>
          <w:p>
            <w:r>
              <w:rPr>
                <w:sz w:val="18"/>
              </w:rPr>
              <w:t>Structure, maintained</w:t>
            </w:r>
          </w:p>
        </w:tc>
        <w:tc>
          <w:tcPr>
            <w:tcW w:type="dxa" w:w="4320"/>
          </w:tcPr>
          <w:p>
            <w:r>
              <w:rPr>
                <w:sz w:val="18"/>
              </w:rPr>
              <w:t>Before you are asked, which is the whole point</w:t>
            </w:r>
          </w:p>
        </w:tc>
        <w:tc>
          <w:tcPr>
            <w:tcW w:type="dxa" w:w="1440"/>
          </w:tcPr>
          <w:p>
            <w:r>
              <w:rPr>
                <w:sz w:val="18"/>
              </w:rPr>
              <w:t>8</w:t>
            </w:r>
          </w:p>
        </w:tc>
      </w:tr>
      <w:tr>
        <w:tc>
          <w:tcPr>
            <w:tcW w:type="dxa" w:w="4320"/>
          </w:tcPr>
          <w:p>
            <w:r>
              <w:rPr>
                <w:sz w:val="18"/>
              </w:rPr>
              <w:t>Serious Incident and Post Market Monitoring Runbook</w:t>
            </w:r>
          </w:p>
        </w:tc>
        <w:tc>
          <w:tcPr>
            <w:tcW w:type="dxa" w:w="2160"/>
          </w:tcPr>
          <w:p>
            <w:r>
              <w:rPr>
                <w:sz w:val="18"/>
              </w:rPr>
              <w:t>Runbook, rehearsed</w:t>
            </w:r>
          </w:p>
        </w:tc>
        <w:tc>
          <w:tcPr>
            <w:tcW w:type="dxa" w:w="4320"/>
          </w:tcPr>
          <w:p>
            <w:r>
              <w:rPr>
                <w:sz w:val="18"/>
              </w:rPr>
              <w:t>Build it in the deferral window, not after an incident</w:t>
            </w:r>
          </w:p>
        </w:tc>
        <w:tc>
          <w:tcPr>
            <w:tcW w:type="dxa" w:w="1440"/>
          </w:tcPr>
          <w:p>
            <w:r>
              <w:rPr>
                <w:sz w:val="18"/>
              </w:rPr>
              <w:t>8, 12</w:t>
            </w:r>
          </w:p>
        </w:tc>
      </w:tr>
    </w:tbl>
    <w:p/>
    <w:p>
      <w:pPr>
        <w:spacing w:before="220" w:after="80"/>
      </w:pPr>
      <w:r>
        <w:rPr>
          <w:b/>
          <w:color w:val="1A2A3A"/>
          <w:sz w:val="22"/>
        </w:rPr>
        <w:t>Execution, Finance and Leadership</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4320"/>
            <w:shd w:val="clear" w:fill="1A2A3A"/>
          </w:tcPr>
          <w:p>
            <w:r>
              <w:rPr>
                <w:b/>
                <w:color w:val="FFFFFF"/>
                <w:sz w:val="17"/>
              </w:rPr>
              <w:t>Instrument</w:t>
            </w:r>
          </w:p>
        </w:tc>
        <w:tc>
          <w:tcPr>
            <w:tcW w:type="dxa" w:w="2160"/>
            <w:shd w:val="clear" w:fill="1A2A3A"/>
          </w:tcPr>
          <w:p>
            <w:r>
              <w:rPr>
                <w:b/>
                <w:color w:val="FFFFFF"/>
                <w:sz w:val="17"/>
              </w:rPr>
              <w:t>Kind</w:t>
            </w:r>
          </w:p>
        </w:tc>
        <w:tc>
          <w:tcPr>
            <w:tcW w:type="dxa" w:w="4320"/>
            <w:shd w:val="clear" w:fill="1A2A3A"/>
          </w:tcPr>
          <w:p>
            <w:r>
              <w:rPr>
                <w:b/>
                <w:color w:val="FFFFFF"/>
                <w:sz w:val="17"/>
              </w:rPr>
              <w:t>Use it when</w:t>
            </w:r>
          </w:p>
        </w:tc>
        <w:tc>
          <w:tcPr>
            <w:tcW w:type="dxa" w:w="1440"/>
            <w:shd w:val="clear" w:fill="1A2A3A"/>
          </w:tcPr>
          <w:p>
            <w:r>
              <w:rPr>
                <w:b/>
                <w:color w:val="FFFFFF"/>
                <w:sz w:val="17"/>
              </w:rPr>
              <w:t>Chapters</w:t>
            </w:r>
          </w:p>
        </w:tc>
      </w:tr>
      <w:tr>
        <w:tc>
          <w:tcPr>
            <w:tcW w:type="dxa" w:w="4320"/>
          </w:tcPr>
          <w:p>
            <w:r>
              <w:rPr>
                <w:sz w:val="18"/>
              </w:rPr>
              <w:t>Agent Governance Business Case and CpCD Model</w:t>
            </w:r>
          </w:p>
        </w:tc>
        <w:tc>
          <w:tcPr>
            <w:tcW w:type="dxa" w:w="2160"/>
          </w:tcPr>
          <w:p>
            <w:r>
              <w:rPr>
                <w:sz w:val="18"/>
              </w:rPr>
              <w:t>Model, per case</w:t>
            </w:r>
          </w:p>
        </w:tc>
        <w:tc>
          <w:tcPr>
            <w:tcW w:type="dxa" w:w="4320"/>
          </w:tcPr>
          <w:p>
            <w:r>
              <w:rPr>
                <w:sz w:val="18"/>
              </w:rPr>
              <w:t>When you need funding, with the challenged case</w:t>
            </w:r>
          </w:p>
        </w:tc>
        <w:tc>
          <w:tcPr>
            <w:tcW w:type="dxa" w:w="1440"/>
          </w:tcPr>
          <w:p>
            <w:r>
              <w:rPr>
                <w:sz w:val="18"/>
              </w:rPr>
              <w:t>10, 11</w:t>
            </w:r>
          </w:p>
        </w:tc>
      </w:tr>
      <w:tr>
        <w:tc>
          <w:tcPr>
            <w:tcW w:type="dxa" w:w="4320"/>
          </w:tcPr>
          <w:p>
            <w:r>
              <w:rPr>
                <w:sz w:val="18"/>
              </w:rPr>
              <w:t>Twelve Month Agent Governance Sprint Tracker</w:t>
            </w:r>
          </w:p>
        </w:tc>
        <w:tc>
          <w:tcPr>
            <w:tcW w:type="dxa" w:w="2160"/>
          </w:tcPr>
          <w:p>
            <w:r>
              <w:rPr>
                <w:sz w:val="18"/>
              </w:rPr>
              <w:t>Tracker, weekly</w:t>
            </w:r>
          </w:p>
        </w:tc>
        <w:tc>
          <w:tcPr>
            <w:tcW w:type="dxa" w:w="4320"/>
          </w:tcPr>
          <w:p>
            <w:r>
              <w:rPr>
                <w:sz w:val="18"/>
              </w:rPr>
              <w:t>Once funding exists and gates are agreed</w:t>
            </w:r>
          </w:p>
        </w:tc>
        <w:tc>
          <w:tcPr>
            <w:tcW w:type="dxa" w:w="1440"/>
          </w:tcPr>
          <w:p>
            <w:r>
              <w:rPr>
                <w:sz w:val="18"/>
              </w:rPr>
              <w:t>12, 15, 16</w:t>
            </w:r>
          </w:p>
        </w:tc>
      </w:tr>
      <w:tr>
        <w:tc>
          <w:tcPr>
            <w:tcW w:type="dxa" w:w="4320"/>
          </w:tcPr>
          <w:p>
            <w:r>
              <w:rPr>
                <w:sz w:val="18"/>
              </w:rPr>
              <w:t>Quarterly Board AI Governance Report Template</w:t>
            </w:r>
          </w:p>
        </w:tc>
        <w:tc>
          <w:tcPr>
            <w:tcW w:type="dxa" w:w="2160"/>
          </w:tcPr>
          <w:p>
            <w:r>
              <w:rPr>
                <w:sz w:val="18"/>
              </w:rPr>
              <w:t>Report, quarterly</w:t>
            </w:r>
          </w:p>
        </w:tc>
        <w:tc>
          <w:tcPr>
            <w:tcW w:type="dxa" w:w="4320"/>
          </w:tcPr>
          <w:p>
            <w:r>
              <w:rPr>
                <w:sz w:val="18"/>
              </w:rPr>
              <w:t>Every quarter, with the same five measures</w:t>
            </w:r>
          </w:p>
        </w:tc>
        <w:tc>
          <w:tcPr>
            <w:tcW w:type="dxa" w:w="1440"/>
          </w:tcPr>
          <w:p>
            <w:r>
              <w:rPr>
                <w:sz w:val="18"/>
              </w:rPr>
              <w:t>16</w:t>
            </w:r>
          </w:p>
        </w:tc>
      </w:tr>
      <w:tr>
        <w:tc>
          <w:tcPr>
            <w:tcW w:type="dxa" w:w="4320"/>
          </w:tcPr>
          <w:p>
            <w:r>
              <w:rPr>
                <w:sz w:val="18"/>
              </w:rPr>
              <w:t>Book Club and Executive Reading Guide</w:t>
            </w:r>
          </w:p>
        </w:tc>
        <w:tc>
          <w:tcPr>
            <w:tcW w:type="dxa" w:w="2160"/>
          </w:tcPr>
          <w:p>
            <w:r>
              <w:rPr>
                <w:sz w:val="18"/>
              </w:rPr>
              <w:t>Programme, six sessions</w:t>
            </w:r>
          </w:p>
        </w:tc>
        <w:tc>
          <w:tcPr>
            <w:tcW w:type="dxa" w:w="4320"/>
          </w:tcPr>
          <w:p>
            <w:r>
              <w:rPr>
                <w:sz w:val="18"/>
              </w:rPr>
              <w:t>When the leadership team needs shared language first</w:t>
            </w:r>
          </w:p>
        </w:tc>
        <w:tc>
          <w:tcPr>
            <w:tcW w:type="dxa" w:w="1440"/>
          </w:tcPr>
          <w:p>
            <w:r>
              <w:rPr>
                <w:sz w:val="18"/>
              </w:rPr>
              <w:t>all</w:t>
            </w:r>
          </w:p>
        </w:tc>
      </w:tr>
      <w:tr>
        <w:tc>
          <w:tcPr>
            <w:tcW w:type="dxa" w:w="4320"/>
          </w:tcPr>
          <w:p>
            <w:r>
              <w:rPr>
                <w:sz w:val="18"/>
              </w:rPr>
              <w:t>Toolkit Index and Implementation Sequence</w:t>
            </w:r>
          </w:p>
        </w:tc>
        <w:tc>
          <w:tcPr>
            <w:tcW w:type="dxa" w:w="2160"/>
          </w:tcPr>
          <w:p>
            <w:r>
              <w:rPr>
                <w:sz w:val="18"/>
              </w:rPr>
              <w:t>This document</w:t>
            </w:r>
          </w:p>
        </w:tc>
        <w:tc>
          <w:tcPr>
            <w:tcW w:type="dxa" w:w="4320"/>
          </w:tcPr>
          <w:p>
            <w:r>
              <w:rPr>
                <w:sz w:val="18"/>
              </w:rPr>
              <w:t>Now, and whenever the toolkit changes</w:t>
            </w:r>
          </w:p>
        </w:tc>
        <w:tc>
          <w:tcPr>
            <w:tcW w:type="dxa" w:w="1440"/>
          </w:tcPr>
          <w:p>
            <w:r>
              <w:rPr>
                <w:sz w:val="18"/>
              </w:rPr>
              <w:t>all</w:t>
            </w:r>
          </w:p>
        </w:tc>
      </w:tr>
    </w:tbl>
    <w:p/>
    <w:p>
      <w:pPr>
        <w:spacing w:before="320" w:after="120"/>
      </w:pPr>
      <w:r>
        <w:rPr>
          <w:b/>
          <w:color w:val="1A2A3A"/>
          <w:sz w:val="27"/>
        </w:rPr>
        <w:t>2. The Ninety Day Sequence</w:t>
      </w:r>
    </w:p>
    <w:p>
      <w:r>
        <w:rPr>
          <w:i w:val="0"/>
          <w:sz w:val="21"/>
        </w:rPr>
        <w:t>Do not start twenty two instruments. Start four. The sequence below is ordered by dependency, not by appetite, and the first thirty days deliberately produce no policy at all.</w:t>
      </w:r>
    </w:p>
    <w:p>
      <w:pPr>
        <w:spacing w:before="220" w:after="80"/>
      </w:pPr>
      <w:r>
        <w:rPr>
          <w:b/>
          <w:color w:val="1A2A3A"/>
          <w:sz w:val="22"/>
        </w:rPr>
        <w:t>Days 1 to 30: find out what is true</w:t>
      </w:r>
    </w:p>
    <w:p>
      <w:pPr>
        <w:pStyle w:val="ListNumber"/>
        <w:spacing w:after="60"/>
      </w:pPr>
      <w:r>
        <w:rPr>
          <w:sz w:val="21"/>
        </w:rPr>
        <w:t>Agent Inventory: run the shadow AI discovery sweep and populate autonomy level and identity tier per system.</w:t>
      </w:r>
    </w:p>
    <w:p>
      <w:pPr>
        <w:pStyle w:val="ListNumber"/>
        <w:spacing w:after="60"/>
      </w:pPr>
      <w:r>
        <w:rPr>
          <w:sz w:val="21"/>
        </w:rPr>
        <w:t>Cryptographic Census: inventory cryptographic instances for your three most sensitive data classes, not the whole estate.</w:t>
      </w:r>
    </w:p>
    <w:p>
      <w:pPr>
        <w:pStyle w:val="ListNumber"/>
        <w:spacing w:after="60"/>
      </w:pPr>
      <w:r>
        <w:rPr>
          <w:sz w:val="21"/>
        </w:rPr>
        <w:t>Cryptographic Bill of Materials sheet: answer the FIPS 140-3 question for any module in a federal facing system. This has a date already past.</w:t>
      </w:r>
    </w:p>
    <w:p>
      <w:pPr>
        <w:pStyle w:val="ListNumber"/>
        <w:spacing w:after="60"/>
      </w:pPr>
      <w:r>
        <w:rPr>
          <w:sz w:val="21"/>
        </w:rPr>
        <w:t>Regulatory Obligation Register: mark which obligations are in force today as against deferred.</w:t>
      </w:r>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Why no policy in the first month</w:t>
            </w:r>
          </w:p>
          <w:p>
            <w:r>
              <w:rPr>
                <w:sz w:val="20"/>
              </w:rPr>
              <w:t>A policy written before the inventory governs the systems you knew about, which are not the ones that will cause the incident. Discovery is the precondition for every other commitment on the list, which is why the eighth commitment exists.</w:t>
            </w:r>
          </w:p>
        </w:tc>
      </w:tr>
    </w:tbl>
    <w:p/>
    <w:p>
      <w:pPr>
        <w:spacing w:before="220" w:after="80"/>
      </w:pPr>
      <w:r>
        <w:rPr>
          <w:b/>
          <w:color w:val="1A2A3A"/>
          <w:sz w:val="22"/>
        </w:rPr>
        <w:t>Days 31 to 60: decide and cost</w:t>
      </w:r>
    </w:p>
    <w:p>
      <w:pPr>
        <w:pStyle w:val="ListNumber"/>
        <w:spacing w:after="60"/>
      </w:pPr>
      <w:r>
        <w:rPr>
          <w:sz w:val="21"/>
        </w:rPr>
        <w:t>Governance Charter: stand up the council with named membership and a quorum rule.</w:t>
      </w:r>
    </w:p>
    <w:p>
      <w:pPr>
        <w:pStyle w:val="ListNumber"/>
        <w:spacing w:after="60"/>
      </w:pPr>
      <w:r>
        <w:rPr>
          <w:sz w:val="21"/>
        </w:rPr>
        <w:t>Business Case and CpCD Model: baseline one high volume workload and build the challenged case, not just the headline.</w:t>
      </w:r>
    </w:p>
    <w:p>
      <w:pPr>
        <w:pStyle w:val="ListNumber"/>
        <w:spacing w:after="60"/>
      </w:pPr>
      <w:r>
        <w:rPr>
          <w:sz w:val="21"/>
        </w:rPr>
        <w:t>Identity Register: find every agent whose credential is broader than its autonomy tier warrants. This is the highest value hour in the ninety days.</w:t>
      </w:r>
    </w:p>
    <w:p>
      <w:pPr>
        <w:pStyle w:val="ListNumber"/>
        <w:spacing w:after="60"/>
      </w:pPr>
      <w:r>
        <w:rPr>
          <w:sz w:val="21"/>
        </w:rPr>
        <w:t>PLACE Worksheet: apply it to the next workload entering production, so the discipline starts on something real.</w:t>
      </w:r>
    </w:p>
    <w:p>
      <w:pPr>
        <w:spacing w:before="220" w:after="80"/>
      </w:pPr>
      <w:r>
        <w:rPr>
          <w:b/>
          <w:color w:val="1A2A3A"/>
          <w:sz w:val="22"/>
        </w:rPr>
        <w:t>Days 61 to 90: prove it works</w:t>
      </w:r>
    </w:p>
    <w:p>
      <w:pPr>
        <w:pStyle w:val="ListNumber"/>
        <w:spacing w:after="60"/>
      </w:pPr>
      <w:r>
        <w:rPr>
          <w:sz w:val="21"/>
        </w:rPr>
        <w:t>Containment Procedure: drill it on your highest autonomy system, timed, executed by someone other than its author.</w:t>
      </w:r>
    </w:p>
    <w:p>
      <w:pPr>
        <w:pStyle w:val="ListNumber"/>
        <w:spacing w:after="60"/>
      </w:pPr>
      <w:r>
        <w:rPr>
          <w:sz w:val="21"/>
        </w:rPr>
        <w:t>Reliability Contract: sign one for that system, with error budgets stratified by autonomy level.</w:t>
      </w:r>
    </w:p>
    <w:p>
      <w:pPr>
        <w:pStyle w:val="ListNumber"/>
        <w:spacing w:after="60"/>
      </w:pPr>
      <w:r>
        <w:rPr>
          <w:sz w:val="21"/>
        </w:rPr>
        <w:t>Human Oversight Design: complete it for the same system and run the first degradation review.</w:t>
      </w:r>
    </w:p>
    <w:p>
      <w:pPr>
        <w:pStyle w:val="ListNumber"/>
        <w:spacing w:after="60"/>
      </w:pPr>
      <w:r>
        <w:rPr>
          <w:sz w:val="21"/>
        </w:rPr>
        <w:t>Evidence Pack: assemble it for that one system and run the one day test.</w:t>
      </w:r>
    </w:p>
    <w:p>
      <w:pPr>
        <w:pStyle w:val="ListNumber"/>
        <w:spacing w:after="60"/>
      </w:pPr>
      <w:r>
        <w:rPr>
          <w:sz w:val="21"/>
        </w:rPr>
        <w:t>Quarterly Board Report: report on the five measures, and include what you could not answer.</w:t>
      </w:r>
    </w:p>
    <w:p>
      <w:pPr>
        <w:spacing w:before="320" w:after="120"/>
      </w:pPr>
      <w:r>
        <w:rPr>
          <w:b/>
          <w:color w:val="1A2A3A"/>
          <w:sz w:val="27"/>
        </w:rPr>
        <w:t>3. How the Instruments Reconcile</w:t>
      </w:r>
    </w:p>
    <w:p>
      <w:r>
        <w:rPr>
          <w:i w:val="0"/>
          <w:sz w:val="21"/>
        </w:rPr>
        <w:t>Figures that must agree. If they disagree, one of them is wrong, and it is usually the later one.</w:t>
      </w:r>
    </w:p>
    <w:tbl>
      <w:tblPr>
        <w:tblStyle w:val="TableGrid"/>
        <w:tblW w:type="auto" w:w="0"/>
        <w:jc w:val="center"/>
        <w:tblLook w:firstColumn="1" w:firstRow="1" w:lastColumn="0" w:lastRow="0" w:noHBand="0" w:noVBand="1" w:val="04A0"/>
      </w:tblPr>
      <w:tblGrid>
        <w:gridCol w:w="3264"/>
        <w:gridCol w:w="3264"/>
        <w:gridCol w:w="3264"/>
      </w:tblGrid>
      <w:tr>
        <w:tc>
          <w:tcPr>
            <w:tcW w:type="dxa" w:w="2736"/>
            <w:shd w:val="clear" w:fill="1A2A3A"/>
          </w:tcPr>
          <w:p>
            <w:r>
              <w:rPr>
                <w:b/>
                <w:color w:val="FFFFFF"/>
                <w:sz w:val="17"/>
              </w:rPr>
              <w:t>Figure</w:t>
            </w:r>
          </w:p>
        </w:tc>
        <w:tc>
          <w:tcPr>
            <w:tcW w:type="dxa" w:w="4896"/>
            <w:shd w:val="clear" w:fill="1A2A3A"/>
          </w:tcPr>
          <w:p>
            <w:r>
              <w:rPr>
                <w:b/>
                <w:color w:val="FFFFFF"/>
                <w:sz w:val="17"/>
              </w:rPr>
              <w:t>Appears in</w:t>
            </w:r>
          </w:p>
        </w:tc>
        <w:tc>
          <w:tcPr>
            <w:tcW w:type="dxa" w:w="4608"/>
            <w:shd w:val="clear" w:fill="1A2A3A"/>
          </w:tcPr>
          <w:p>
            <w:r>
              <w:rPr>
                <w:b/>
                <w:color w:val="FFFFFF"/>
                <w:sz w:val="17"/>
              </w:rPr>
              <w:t>Must equal</w:t>
            </w:r>
          </w:p>
        </w:tc>
      </w:tr>
      <w:tr>
        <w:tc>
          <w:tcPr>
            <w:tcW w:type="dxa" w:w="2736"/>
          </w:tcPr>
          <w:p>
            <w:r>
              <w:rPr>
                <w:sz w:val="18"/>
              </w:rPr>
              <w:t>Autonomy level per system</w:t>
            </w:r>
          </w:p>
        </w:tc>
        <w:tc>
          <w:tcPr>
            <w:tcW w:type="dxa" w:w="4896"/>
          </w:tcPr>
          <w:p>
            <w:r>
              <w:rPr>
                <w:sz w:val="18"/>
              </w:rPr>
              <w:t>Inventory, Decision Log, Identity Register, Reliability Contract</w:t>
            </w:r>
          </w:p>
        </w:tc>
        <w:tc>
          <w:tcPr>
            <w:tcW w:type="dxa" w:w="4608"/>
          </w:tcPr>
          <w:p>
            <w:r>
              <w:rPr>
                <w:sz w:val="18"/>
              </w:rPr>
              <w:t>The Inventory is authoritative. Everything else reads from it</w:t>
            </w:r>
          </w:p>
        </w:tc>
      </w:tr>
      <w:tr>
        <w:tc>
          <w:tcPr>
            <w:tcW w:type="dxa" w:w="2736"/>
          </w:tcPr>
          <w:p>
            <w:r>
              <w:rPr>
                <w:sz w:val="18"/>
              </w:rPr>
              <w:t>Protection margin per data class</w:t>
            </w:r>
          </w:p>
        </w:tc>
        <w:tc>
          <w:tcPr>
            <w:tcW w:type="dxa" w:w="4896"/>
          </w:tcPr>
          <w:p>
            <w:r>
              <w:rPr>
                <w:sz w:val="18"/>
              </w:rPr>
              <w:t>Census shelf life sheet, Shelf Life Calculator, Roadmap, Board Deck</w:t>
            </w:r>
          </w:p>
        </w:tc>
        <w:tc>
          <w:tcPr>
            <w:tcW w:type="dxa" w:w="4608"/>
          </w:tcPr>
          <w:p>
            <w:r>
              <w:rPr>
                <w:sz w:val="18"/>
              </w:rPr>
              <w:t>The Census. The calculator is for testing scenarios, not for the record</w:t>
            </w:r>
          </w:p>
        </w:tc>
      </w:tr>
      <w:tr>
        <w:tc>
          <w:tcPr>
            <w:tcW w:type="dxa" w:w="2736"/>
          </w:tcPr>
          <w:p>
            <w:r>
              <w:rPr>
                <w:sz w:val="18"/>
              </w:rPr>
              <w:t>Cost per compliant decision</w:t>
            </w:r>
          </w:p>
        </w:tc>
        <w:tc>
          <w:tcPr>
            <w:tcW w:type="dxa" w:w="4896"/>
          </w:tcPr>
          <w:p>
            <w:r>
              <w:rPr>
                <w:sz w:val="18"/>
              </w:rPr>
              <w:t>Business Case model, CpCD Calculator, Board Report, PLACE worksheet</w:t>
            </w:r>
          </w:p>
        </w:tc>
        <w:tc>
          <w:tcPr>
            <w:tcW w:type="dxa" w:w="4608"/>
          </w:tcPr>
          <w:p>
            <w:r>
              <w:rPr>
                <w:sz w:val="18"/>
              </w:rPr>
              <w:t>The Business Case model, because it is the one with the sourced assumptions sheet</w:t>
            </w:r>
          </w:p>
        </w:tc>
      </w:tr>
      <w:tr>
        <w:tc>
          <w:tcPr>
            <w:tcW w:type="dxa" w:w="2736"/>
          </w:tcPr>
          <w:p>
            <w:r>
              <w:rPr>
                <w:sz w:val="18"/>
              </w:rPr>
              <w:t>Obligation dates</w:t>
            </w:r>
          </w:p>
        </w:tc>
        <w:tc>
          <w:tcPr>
            <w:tcW w:type="dxa" w:w="4896"/>
          </w:tcPr>
          <w:p>
            <w:r>
              <w:rPr>
                <w:sz w:val="18"/>
              </w:rPr>
              <w:t>Obligation Register, Deadline Checker, Board Report, Evidence Pack</w:t>
            </w:r>
          </w:p>
        </w:tc>
        <w:tc>
          <w:tcPr>
            <w:tcW w:type="dxa" w:w="4608"/>
          </w:tcPr>
          <w:p>
            <w:r>
              <w:rPr>
                <w:sz w:val="18"/>
              </w:rPr>
              <w:t>The Register, verified against the primary text. The checker tests one system against it</w:t>
            </w:r>
          </w:p>
        </w:tc>
      </w:tr>
      <w:tr>
        <w:tc>
          <w:tcPr>
            <w:tcW w:type="dxa" w:w="2736"/>
          </w:tcPr>
          <w:p>
            <w:r>
              <w:rPr>
                <w:sz w:val="18"/>
              </w:rPr>
              <w:t>Migration duration</w:t>
            </w:r>
          </w:p>
        </w:tc>
        <w:tc>
          <w:tcPr>
            <w:tcW w:type="dxa" w:w="4896"/>
          </w:tcPr>
          <w:p>
            <w:r>
              <w:rPr>
                <w:sz w:val="18"/>
              </w:rPr>
              <w:t>Census, Roadmap, Shelf Life Calculator, Board Deck</w:t>
            </w:r>
          </w:p>
        </w:tc>
        <w:tc>
          <w:tcPr>
            <w:tcW w:type="dxa" w:w="4608"/>
          </w:tcPr>
          <w:p>
            <w:r>
              <w:rPr>
                <w:sz w:val="18"/>
              </w:rPr>
              <w:t>The Roadmap once Phase 1 is complete. Before that it is an estimate everywhere</w:t>
            </w:r>
          </w:p>
        </w:tc>
      </w:tr>
      <w:tr>
        <w:tc>
          <w:tcPr>
            <w:tcW w:type="dxa" w:w="2736"/>
          </w:tcPr>
          <w:p>
            <w:r>
              <w:rPr>
                <w:sz w:val="18"/>
              </w:rPr>
              <w:t>Binding capability constraint</w:t>
            </w:r>
          </w:p>
        </w:tc>
        <w:tc>
          <w:tcPr>
            <w:tcW w:type="dxa" w:w="4896"/>
          </w:tcPr>
          <w:p>
            <w:r>
              <w:rPr>
                <w:sz w:val="18"/>
              </w:rPr>
              <w:t>A.R.T. Assessment, Sprint Tracker, Board Report</w:t>
            </w:r>
          </w:p>
        </w:tc>
        <w:tc>
          <w:tcPr>
            <w:tcW w:type="dxa" w:w="4608"/>
          </w:tcPr>
          <w:p>
            <w:r>
              <w:rPr>
                <w:sz w:val="18"/>
              </w:rPr>
              <w:t>The A.R.T. Assessment, re run quarterly because the constraint moves</w:t>
            </w:r>
          </w:p>
        </w:tc>
      </w:tr>
    </w:tbl>
    <w:p/>
    <w:tbl>
      <w:tblPr>
        <w:tblStyle w:val="TableGrid"/>
        <w:tblW w:type="auto" w:w="0"/>
        <w:tblLook w:firstColumn="1" w:firstRow="1" w:lastColumn="0" w:lastRow="0" w:noHBand="0" w:noVBand="1" w:val="04A0"/>
      </w:tblPr>
      <w:tblGrid>
        <w:gridCol w:w="9792"/>
      </w:tblGrid>
      <w:tr>
        <w:tc>
          <w:tcPr>
            <w:tcW w:type="dxa" w:w="9792"/>
            <w:shd w:val="clear" w:fill="FADBD8"/>
          </w:tcPr>
          <w:p>
            <w:r>
              <w:rPr>
                <w:b/>
                <w:color w:val="1A2A3A"/>
                <w:sz w:val="20"/>
              </w:rPr>
              <w:t>The reconciliation that catches the most errors</w:t>
            </w:r>
          </w:p>
          <w:p>
            <w:r>
              <w:rPr>
                <w:sz w:val="20"/>
              </w:rPr>
              <w:t>Autonomy level. An agent recorded as L2 in the inventory, governed as L4 by its credentials, and carrying no reliability contract because L2 does not require one, is the exact configuration the book warns about. The Identity Register calculates effective privilege for this reason: it tells you when the declared level and the governing level have parted company.</w:t>
            </w:r>
          </w:p>
        </w:tc>
      </w:tr>
    </w:tbl>
    <w:p/>
    <w:p>
      <w:pPr>
        <w:spacing w:before="320" w:after="120"/>
      </w:pPr>
      <w:r>
        <w:rPr>
          <w:b/>
          <w:color w:val="1A2A3A"/>
          <w:sz w:val="27"/>
        </w:rPr>
        <w:t>4. What To Do If You Only Have One Day</w:t>
      </w:r>
    </w:p>
    <w:p>
      <w:pPr>
        <w:pStyle w:val="ListNumber"/>
        <w:spacing w:after="60"/>
      </w:pPr>
      <w:r>
        <w:rPr>
          <w:sz w:val="21"/>
        </w:rPr>
        <w:t>Run the Sovereignty Clock Reader and note the worst quadrant, not the average.</w:t>
      </w:r>
    </w:p>
    <w:p>
      <w:pPr>
        <w:pStyle w:val="ListNumber"/>
        <w:spacing w:after="60"/>
      </w:pPr>
      <w:r>
        <w:rPr>
          <w:sz w:val="21"/>
        </w:rPr>
        <w:t>Run the Identity Register against your five most autonomous agents. Look only at the effective privilege column.</w:t>
      </w:r>
    </w:p>
    <w:p>
      <w:pPr>
        <w:pStyle w:val="ListNumber"/>
        <w:spacing w:after="60"/>
      </w:pPr>
      <w:r>
        <w:rPr>
          <w:sz w:val="21"/>
        </w:rPr>
        <w:t>Answer the FIPS 140-3 question for anything in a federal facing system.</w:t>
      </w:r>
    </w:p>
    <w:p>
      <w:pPr>
        <w:pStyle w:val="ListNumber"/>
        <w:spacing w:after="60"/>
      </w:pPr>
      <w:r>
        <w:rPr>
          <w:sz w:val="21"/>
        </w:rPr>
        <w:t>Run the Quantum Shelf Life Calculator on your longest retention data class.</w:t>
      </w:r>
    </w:p>
    <w:p>
      <w:pPr>
        <w:pStyle w:val="ListNumber"/>
        <w:spacing w:after="60"/>
      </w:pPr>
      <w:r>
        <w:rPr>
          <w:sz w:val="21"/>
        </w:rPr>
        <w:t>Write down the one thing you could not answer. Take that to your next governance meeting instead of a plan.</w:t>
      </w:r>
    </w:p>
    <w:p>
      <w:pPr>
        <w:spacing w:before="320" w:after="120"/>
      </w:pPr>
      <w:r>
        <w:rPr>
          <w:b/>
          <w:color w:val="1A2A3A"/>
          <w:sz w:val="27"/>
        </w:rPr>
        <w:t>Basis and Limits</w:t>
      </w:r>
    </w:p>
    <w:p>
      <w:r>
        <w:rPr>
          <w:i/>
          <w:sz w:val="19"/>
        </w:rPr>
        <w:t>This instrument is a working template from the companion toolkit to When Agents Rule by Steven Oppenheim. It is blank by design: it provides the structure, the questions and the tests, and you provide the content. It is not an audit, a certification or a benchmark, and it is not legal, technical or financial advice. This index describes instruments; the instruments themselves carry their own limits statements, and each should be read before use. Every regulatory reference must be verified against the primary text, and dates in this area have moved once already. Free for internal use inside your own organization; see the usage policy for redistribution.</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