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0"/>
      </w:pPr>
      <w:r>
        <w:rPr>
          <w:rFonts w:ascii="Arial" w:cs="Arial" w:eastAsia="Arial" w:hAnsi="Arial"/>
          <w:b w:val="false"/>
          <w:bCs w:val="false"/>
          <w:i w:val="false"/>
          <w:iCs w:val="false"/>
          <w:caps w:val="false"/>
          <w:color w:val="222222"/>
          <w:sz w:val="20"/>
          <w:szCs w:val="20"/>
        </w:rPr>
        <w:t xml:space="preserve"/>
      </w:r>
    </w:p>
    <w:p>
      <w:pPr>
        <w:keepNext w:val="false"/>
        <w:spacing w:after="40" w:before="60" w:line="276"/>
        <w:jc w:val="left"/>
      </w:pPr>
      <w:r>
        <w:rPr>
          <w:rFonts w:ascii="Arial" w:cs="Arial" w:eastAsia="Arial" w:hAnsi="Arial"/>
          <w:b/>
          <w:bCs/>
          <w:i w:val="false"/>
          <w:iCs w:val="false"/>
          <w:caps/>
          <w:color w:val="C9A227"/>
          <w:sz w:val="18"/>
          <w:szCs w:val="18"/>
        </w:rPr>
        <w:t xml:space="preserve">WHEN AGENTS RULE  //  COMPANION TOOLKIT</w:t>
      </w:r>
    </w:p>
    <w:p>
      <w:pPr>
        <w:keepNext w:val="false"/>
        <w:spacing w:after="240" w:before="60" w:line="276"/>
        <w:jc w:val="left"/>
      </w:pPr>
      <w:r>
        <w:rPr>
          <w:rFonts w:ascii="Arial" w:cs="Arial" w:eastAsia="Arial" w:hAnsi="Arial"/>
          <w:b/>
          <w:bCs/>
          <w:i w:val="false"/>
          <w:iCs w:val="false"/>
          <w:caps w:val="false"/>
          <w:color w:val="475569"/>
          <w:sz w:val="18"/>
          <w:szCs w:val="18"/>
        </w:rPr>
        <w:t xml:space="preserve">QUANTUM READINESS GROUP</w:t>
      </w:r>
    </w:p>
    <w:p>
      <w:pPr>
        <w:spacing w:after="100" w:before="0" w:line="300"/>
      </w:pPr>
      <w:r>
        <w:rPr>
          <w:rFonts w:ascii="Arial" w:cs="Arial" w:eastAsia="Arial" w:hAnsi="Arial"/>
          <w:b/>
          <w:bCs/>
          <w:i w:val="false"/>
          <w:iCs w:val="false"/>
          <w:caps w:val="false"/>
          <w:color w:val="1A2A3A"/>
          <w:sz w:val="48"/>
          <w:szCs w:val="48"/>
        </w:rPr>
        <w:t xml:space="preserve">Vendor Post Quantum Readiness Questionnaire</w:t>
      </w:r>
    </w:p>
    <w:p>
      <w:pPr>
        <w:pBdr>
          <w:bottom w:val="single" w:color="B91C1C" w:sz="18" w:space="4"/>
        </w:pBdr>
        <w:spacing w:after="200" w:before="0"/>
      </w:pPr>
      <w:r>
        <w:rPr>
          <w:rFonts w:ascii="Arial" w:cs="Arial" w:eastAsia="Arial" w:hAnsi="Arial"/>
          <w:b w:val="false"/>
          <w:bCs w:val="false"/>
          <w:i w:val="false"/>
          <w:iCs w:val="false"/>
          <w:caps w:val="false"/>
          <w:color w:val="222222"/>
          <w:sz w:val="20"/>
          <w:szCs w:val="20"/>
        </w:rPr>
        <w:t xml:space="preserve"/>
      </w:r>
    </w:p>
    <w:p>
      <w:pPr>
        <w:keepNext w:val="false"/>
        <w:spacing w:after="300" w:before="60" w:line="300"/>
        <w:jc w:val="left"/>
      </w:pPr>
      <w:r>
        <w:rPr>
          <w:rFonts w:ascii="Arial" w:cs="Arial" w:eastAsia="Arial" w:hAnsi="Arial"/>
          <w:b w:val="false"/>
          <w:bCs w:val="false"/>
          <w:i/>
          <w:iCs/>
          <w:caps w:val="false"/>
          <w:color w:val="2D4156"/>
          <w:sz w:val="24"/>
          <w:szCs w:val="24"/>
        </w:rPr>
        <w:t xml:space="preserve">Request for information grade questions that establish whether a supplier can meet your cryptographic migration timeline, or whether their roadmap has just become your constraint.</w:t>
      </w:r>
    </w:p>
    <w:p>
      <w:pPr>
        <w:keepNext w:val="false"/>
        <w:spacing w:after="300" w:before="60" w:line="280"/>
        <w:jc w:val="left"/>
      </w:pPr>
      <w:r>
        <w:rPr>
          <w:rFonts w:ascii="Arial" w:cs="Arial" w:eastAsia="Arial" w:hAnsi="Arial"/>
          <w:b w:val="false"/>
          <w:bCs w:val="false"/>
          <w:i w:val="false"/>
          <w:iCs w:val="false"/>
          <w:caps w:val="false"/>
          <w:color w:val="4A5568"/>
          <w:sz w:val="20"/>
          <w:szCs w:val="20"/>
        </w:rPr>
        <w:t xml:space="preserve">For procurement, vendor management, security architecture and the CISO. Issue at request for proposal, at renewal, and annually for any supplier holding data with a long confidentiality requirement.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91C1C"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BEFORE YOU USE THIS DOCUMENT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Your migration timeline is capped by your slowest critical vendor. This questionnaire exists to find out which vendor that is while you still have commercial leverage, which means before renewal rather than after.</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Issue it with a response deadline and a named contact. A questionnaire sent without either is treated as optional, and the non response is itself the answer you were looking for.</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Scoring guidance is in Section 9. Score before you meet the vendor, not during the meeting.</w:t>
            </w:r>
          </w:p>
        </w:tc>
      </w:tr>
    </w:tbl>
    <w:p>
      <w:pPr>
        <w:spacing w:after="0" w:before="300"/>
      </w:pPr>
      <w:r>
        <w:rPr>
          <w:rFonts w:ascii="Arial" w:cs="Arial" w:eastAsia="Arial" w:hAnsi="Arial"/>
          <w:b w:val="false"/>
          <w:bCs w:val="false"/>
          <w:i w:val="false"/>
          <w:iCs w:val="false"/>
          <w:caps w:val="false"/>
          <w:color w:val="222222"/>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24"/>
        <w:gridCol w:w="7056"/>
      </w:tblGrid>
      <w:tr>
        <w:trPr>
          <w:tblHeader/>
        </w:trPr>
        <w:tc>
          <w:tcPr>
            <w:tcW w:type="dxa" w:w="3024"/>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705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Value</w:t>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Document owner</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Organization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Version and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Approved by</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Next review date</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Classification</w:t>
            </w:r>
          </w:p>
        </w:tc>
        <w:tc>
          <w:tcPr>
            <w:tcW w:type="dxa" w:w="705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20" w:line="276"/>
        <w:jc w:val="left"/>
      </w:pPr>
      <w:r>
        <w:rPr>
          <w:rFonts w:ascii="Arial" w:cs="Arial" w:eastAsia="Arial" w:hAnsi="Arial"/>
          <w:b w:val="false"/>
          <w:bCs w:val="false"/>
          <w:i/>
          <w:iCs/>
          <w:caps w:val="false"/>
          <w:color w:val="4A5568"/>
          <w:sz w:val="17"/>
          <w:szCs w:val="17"/>
        </w:rPr>
        <w:t xml:space="preserve">Yellow cells are yours to complete. Every bracketed placeholder in this document marks a decision your organization has to make rather than inherit.</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1. Instructions to the Supplier</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[ORGANIZATION] is assessing the cryptographic resilience of its supply chain against the transition to post quantum cryptography. Your responses will inform [procurement decision / contract renewal / ongoing risk assessment].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Answer every question. Where a question does not apply, state why rather than leaving it blank.</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Where a commitment has a date, provide the date. A roadmap without dates will be scored as no commitment.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Distinguish clearly between what is available today, what is in development, and what is under consideration. Conflating the three is the commonest reason a response is rejected.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Name the individual accountable for each answer. Responses attributed only to a company will be returned.</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Where a subprocessor or upstream component determines the answer, say so and name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830"/>
        <w:gridCol w:w="6250"/>
      </w:tblGrid>
      <w:tr>
        <w:trPr>
          <w:tblHeader/>
        </w:trPr>
        <w:tc>
          <w:tcPr>
            <w:tcW w:type="dxa" w:w="3830"/>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Field</w:t>
            </w:r>
          </w:p>
        </w:tc>
        <w:tc>
          <w:tcPr>
            <w:tcW w:type="dxa" w:w="6250"/>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Supplier legal entity</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Product or service assessed</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Version or release assessed</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Respondent name and role</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Respondent email and telephone</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Date of response</w:t>
            </w:r>
          </w:p>
        </w:tc>
        <w:tc>
          <w:tcPr>
            <w:tcW w:type="dxa" w:w="6250"/>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383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Response deadline set by [ORGANIZATION]</w:t>
            </w:r>
          </w:p>
        </w:tc>
        <w:tc>
          <w:tcPr>
            <w:tcW w:type="dxa" w:w="6250"/>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[DATE]</w:t>
            </w:r>
          </w:p>
        </w:tc>
      </w:tr>
      <w:tr>
        <w:tc>
          <w:tcPr>
            <w:tcW w:type="dxa" w:w="383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Named [ORGANIZATION] contact</w:t>
            </w:r>
          </w:p>
        </w:tc>
        <w:tc>
          <w:tcPr>
            <w:tcW w:type="dxa" w:w="6250"/>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[NAME]</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2. Section A: Current Cryptographic Position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List every public key algorithm the product uses, and for what purpose, including key exchange, digital signature, authentication and code signing.</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List every symmetric algorithm and key length used for data at rest and data in transit.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List every hash function used, and for what purpose.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Which of the above are configurable by the customer, and which are fixed in the product?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the product use any proprietary or undisclosed cryptography? If so, describe the basis on which a customer can assess it.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A6</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Which cryptographic operations are performed in hardware, and in what hardware?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A7</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Can you provide a cryptographic bill of materials for the product in a machine readable format?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A8</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is the shortest supported key length or weakest cipher suite the product will still negotiate, and can that be disabled by the customer?</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3. Section B: Post Quantum Roadmap and Commitments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 you support any post quantum algorithm in a generally available release today? Name the algorithm, the release and the availability date.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 you support hybrid key exchange combining a classical and a post quantum algorithm? In which release, and is it the default or opt in?</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State your committed date for post quantum support for key exchange in this product.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State your committed date for post quantum support for digital signatures in this product.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State your committed date for post quantum code and firmware signing.</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B6</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Is the roadmap in B3 to B5 contractually committed, publicly published, or internal only?</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B7</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Which products or versions in your portfolio will not receive post quantum support, and what is their end of support date?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B8</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post quantum support require a customer side hardware change, a firmware update, a major version upgrade, or a configuration change only?</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B9</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post quantum support be included in the current licence, or does it require a new licence tier or additional charge?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B10</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Who is the named executive accountable for delivery of this roadmap?</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91C1C"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THE TWO ANSWERS THAT MATTER MOST</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B6 separates a plan from a promise. An internal roadmap is not something you can build a migration programme around, and it is not something a regulator will accept as a control.</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B8 and B9 together determine your real cost and your real timeline. A vendor who will deliver post quantum support in a major version upgrade behind a new licence tier has given you a procurement project, not a patch.</w:t>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4. Section C: Cryptographic Agility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Can algorithms be changed without a code change to the product?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How long, from decision to production, does it take you to deploy a new cryptographic algorithm across your estate? Provide a past example.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Is cryptography abstracted behind an interface, or invoked directly throughout the codebase?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How would you respond if a currently standardised post quantum algorithm were weakened after you had deployed it?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 you support more than one post quantum algorithm family, or a single implementation?</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C6</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Can a customer operate a mixed estate during migration, with some endpoints migrated and some not?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C7</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is the performance and payload impact of your post quantum implementation, measured rather than estimated?</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5. Section D: Keys, Certificates and Lifecycle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Where are private keys generated and stored, and does the customer or the supplier control them?</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is the longest certificate or key lifetime the product will accept?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Can keys be rotated without service interruption? What is the measured time to rotate?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How is key inventory exposed to the customer for audit purposes?</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Does the product support larger post quantum key and signature sizes in every place a key is stored or transmitted, including any fixed length fields?</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D6</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happens to data encrypted under the old algorithm after migration: is it encrypted again, or does it remain under the original protection?</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D5 and D6 are the questions most often answered incorrectly on first attempt. Fixed length fields sized for classical keys are a recurring implementation obstacle, and data that remains encrypted under a quantum vulnerable algorithm after a transport migration has not been protected at all.</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6. Section E: Supply Chain and Subprocessors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Name every subprocessor, cloud provider or third party whose cryptographic posture affects this product.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What is your process for assessing their post quantum readiness, and what have you found?</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Which cryptographic libraries does the product depend on, and at what versions?</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Have you imposed post quantum requirements on your own suppliers? Provide the requirement language if so.</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If a subprocessor cannot migrate in time, what is your contingency?</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7. Section F: Standards and Validation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0596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Which standardised post quantum algorithms do you implement? Name the standard rather than the algorithm nickname.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Has your implementation been independently validated or certified? Provide the certificate reference and scope.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 you meet, or plan to meet, the requirements of any national or sector cryptographic suite applicable to our operations? State which and by when.</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How do you track changes to post quantum standards, including new algorithm selections and parameter guidance?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provide evidence of cryptographic configuration suitable for inclusion in our regulatory evidence pack, on request?</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8. Section G: Contractual Position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5"/>
        <w:gridCol w:w="5443"/>
        <w:gridCol w:w="4032"/>
      </w:tblGrid>
      <w:tr>
        <w:trPr>
          <w:tblHeader/>
        </w:trPr>
        <w:tc>
          <w:tcPr>
            <w:tcW w:type="dxa" w:w="605"/>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t>
            </w:r>
          </w:p>
        </w:tc>
        <w:tc>
          <w:tcPr>
            <w:tcW w:type="dxa" w:w="5443"/>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Question</w:t>
            </w:r>
          </w:p>
        </w:tc>
        <w:tc>
          <w:tcPr>
            <w:tcW w:type="dxa" w:w="4032"/>
            <w:tcBorders>
              <w:top w:val="single" w:color="C8CDD4" w:sz="2"/>
              <w:left w:val="single" w:color="C8CDD4" w:sz="2"/>
              <w:bottom w:val="single" w:color="C8CDD4" w:sz="2"/>
              <w:right w:val="single" w:color="C8CDD4" w:sz="2"/>
            </w:tcBorders>
            <w:shd w:fill="D97706"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Response</w:t>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G1</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accept a contractual commitment to the dates in Section B?</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G2</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accept a right of termination without penalty if post quantum support is not delivered by the committed date?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G3</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accept a cryptographic disclosure obligation, requiring notification of material changes to the product's cryptography?</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G4</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accept an obligation to maintain and provide a cryptographic bill of materials?</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G5</w:t>
            </w:r>
          </w:p>
        </w:tc>
        <w:tc>
          <w:tcPr>
            <w:tcW w:type="dxa" w:w="544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accept audit rights over cryptographic configuration?</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605"/>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G6</w:t>
            </w:r>
          </w:p>
        </w:tc>
        <w:tc>
          <w:tcPr>
            <w:tcW w:type="dxa" w:w="544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Will you commit to no reduction in cryptographic strength across a version upgrade without prior written notice?</w:t>
            </w:r>
          </w:p>
        </w:tc>
        <w:tc>
          <w:tcPr>
            <w:tcW w:type="dxa" w:w="4032"/>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keepNext w:val="false"/>
        <w:spacing w:after="120" w:before="140" w:line="276"/>
        <w:jc w:val="left"/>
      </w:pPr>
      <w:r>
        <w:rPr>
          <w:rFonts w:ascii="Arial" w:cs="Arial" w:eastAsia="Arial" w:hAnsi="Arial"/>
          <w:b w:val="false"/>
          <w:bCs w:val="false"/>
          <w:i w:val="false"/>
          <w:iCs w:val="false"/>
          <w:caps w:val="false"/>
          <w:color w:val="222222"/>
          <w:sz w:val="20"/>
          <w:szCs w:val="20"/>
        </w:rPr>
        <w:t xml:space="preserve">Section G is the section that changes vendor behaviour. Technical questions produce technical answers; contractual questions produce dates. Take Section G into the commercial negotiation rather than into the architecture review.</w:t>
      </w:r>
    </w:p>
    <w:p>
      <w:r>
        <w:br w:type="page"/>
      </w:r>
    </w:p>
    <w:p>
      <w:pPr>
        <w:pStyle w:val="Heading1"/>
        <w:pBdr>
          <w:bottom w:val="single" w:color="C9A227" w:sz="12" w:space="6"/>
        </w:pBdr>
        <w:spacing w:after="60" w:before="360"/>
      </w:pPr>
      <w:r>
        <w:rPr>
          <w:rFonts w:ascii="Arial" w:cs="Arial" w:eastAsia="Arial" w:hAnsi="Arial"/>
          <w:b/>
          <w:bCs/>
          <w:i w:val="false"/>
          <w:iCs w:val="false"/>
          <w:caps w:val="false"/>
          <w:color w:val="1A2A3A"/>
          <w:sz w:val="30"/>
          <w:szCs w:val="30"/>
        </w:rPr>
        <w:t xml:space="preserve">9. Evaluator Scoring</w:t>
      </w:r>
    </w:p>
    <w:p>
      <w:pPr>
        <w:keepNext w:val="false"/>
        <w:spacing w:after="120" w:before="60" w:line="276"/>
        <w:jc w:val="left"/>
      </w:pPr>
      <w:r>
        <w:rPr>
          <w:rFonts w:ascii="Arial" w:cs="Arial" w:eastAsia="Arial" w:hAnsi="Arial"/>
          <w:b w:val="false"/>
          <w:bCs w:val="false"/>
          <w:i w:val="false"/>
          <w:iCs w:val="false"/>
          <w:caps w:val="false"/>
          <w:color w:val="222222"/>
          <w:sz w:val="20"/>
          <w:szCs w:val="20"/>
        </w:rPr>
        <w:t xml:space="preserve">Completed by [ORGANIZATION], not by the supplier. Score each section from zero to four, then apply the weighting. The weighting reflects that a dated contractual commitment is worth more than an elegant architecture, because only one of them binds.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13"/>
        <w:gridCol w:w="3024"/>
        <w:gridCol w:w="2822"/>
        <w:gridCol w:w="907"/>
        <w:gridCol w:w="1714"/>
      </w:tblGrid>
      <w:tr>
        <w:trPr>
          <w:tblHeader/>
        </w:trPr>
        <w:tc>
          <w:tcPr>
            <w:tcW w:type="dxa" w:w="1613"/>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Section</w:t>
            </w:r>
          </w:p>
        </w:tc>
        <w:tc>
          <w:tcPr>
            <w:tcW w:type="dxa" w:w="302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a 4 looks like</w:t>
            </w:r>
          </w:p>
        </w:tc>
        <w:tc>
          <w:tcPr>
            <w:tcW w:type="dxa" w:w="2822"/>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What a 0 looks like</w:t>
            </w:r>
          </w:p>
        </w:tc>
        <w:tc>
          <w:tcPr>
            <w:tcW w:type="dxa" w:w="907"/>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Weight</w:t>
            </w:r>
          </w:p>
        </w:tc>
        <w:tc>
          <w:tcPr>
            <w:tcW w:type="dxa" w:w="1714"/>
            <w:tcBorders>
              <w:top w:val="single" w:color="C8CDD4" w:sz="2"/>
              <w:left w:val="single" w:color="C8CDD4" w:sz="2"/>
              <w:bottom w:val="single" w:color="C8CDD4" w:sz="2"/>
              <w:right w:val="single" w:color="C8CDD4" w:sz="2"/>
            </w:tcBorders>
            <w:shd w:fill="1A2A3A"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Score</w:t>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 Current position</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Complete algorithm disclosure with a machine readable bill of materials.</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Cannot or will not disclose what cryptography the product uses.</w:t>
            </w:r>
          </w:p>
        </w:tc>
        <w:tc>
          <w:tcPr>
            <w:tcW w:type="dxa" w:w="90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15%</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 Roadmap</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Post quantum support generally available now, or contractually committed with dates.</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 roadmap, or an internal roadmap with no dates.</w:t>
            </w:r>
          </w:p>
        </w:tc>
        <w:tc>
          <w:tcPr>
            <w:tcW w:type="dxa" w:w="90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30%</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C. Agility</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Algorithm change without code change, demonstrated by a past example.</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Cryptography hard coded throughout; no precedent for changing it.</w:t>
            </w:r>
          </w:p>
        </w:tc>
        <w:tc>
          <w:tcPr>
            <w:tcW w:type="dxa" w:w="90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15%</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D. Key lifecycle</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Customer controlled keys, rotation without interruption, post quantum sizes supported throughout.</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Supplier controlled keys, rotation requires an outage, fixed length fields.</w:t>
            </w:r>
          </w:p>
        </w:tc>
        <w:tc>
          <w:tcPr>
            <w:tcW w:type="dxa" w:w="90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15%</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E. Supply chain</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Subprocessors named and assessed, requirements flowed down, contingency defined.</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No visibility beyond their own code.</w:t>
            </w:r>
          </w:p>
        </w:tc>
        <w:tc>
          <w:tcPr>
            <w:tcW w:type="dxa" w:w="90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10%</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F. Standards</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Standardised algorithms, independently validated, tracking parameter guidance.</w:t>
            </w:r>
          </w:p>
        </w:tc>
        <w:tc>
          <w:tcPr>
            <w:tcW w:type="dxa" w:w="282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Proprietary or unvalidated implementation.</w:t>
            </w:r>
          </w:p>
        </w:tc>
        <w:tc>
          <w:tcPr>
            <w:tcW w:type="dxa" w:w="907"/>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5%</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1613"/>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G. Contractual</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Accepts dated commitments, disclosure obligations and audit rights.</w:t>
            </w:r>
          </w:p>
        </w:tc>
        <w:tc>
          <w:tcPr>
            <w:tcW w:type="dxa" w:w="282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Declines every contractual commitment.</w:t>
            </w:r>
          </w:p>
        </w:tc>
        <w:tc>
          <w:tcPr>
            <w:tcW w:type="dxa" w:w="907"/>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10%</w:t>
            </w:r>
          </w:p>
        </w:tc>
        <w:tc>
          <w:tcPr>
            <w:tcW w:type="dxa" w:w="17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p>
      <w:pPr>
        <w:pStyle w:val="Heading3"/>
        <w:spacing w:after="40" w:before="180"/>
      </w:pPr>
      <w:r>
        <w:rPr>
          <w:rFonts w:ascii="Arial" w:cs="Arial" w:eastAsia="Arial" w:hAnsi="Arial"/>
          <w:b/>
          <w:bCs/>
          <w:i w:val="false"/>
          <w:iCs w:val="false"/>
          <w:caps w:val="false"/>
          <w:color w:val="1A2A3A"/>
          <w:sz w:val="21"/>
          <w:szCs w:val="21"/>
        </w:rPr>
        <w:t xml:space="preserve">9.1 Disposition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14"/>
        <w:gridCol w:w="3024"/>
        <w:gridCol w:w="5242"/>
      </w:tblGrid>
      <w:tr>
        <w:trPr>
          <w:tblHeader/>
        </w:trPr>
        <w:tc>
          <w:tcPr>
            <w:tcW w:type="dxa" w:w="1814"/>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Weighted score</w:t>
            </w:r>
          </w:p>
        </w:tc>
        <w:tc>
          <w:tcPr>
            <w:tcW w:type="dxa" w:w="3024"/>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Disposition</w:t>
            </w:r>
          </w:p>
        </w:tc>
        <w:tc>
          <w:tcPr>
            <w:tcW w:type="dxa" w:w="5242"/>
            <w:tcBorders>
              <w:top w:val="single" w:color="C8CDD4" w:sz="2"/>
              <w:left w:val="single" w:color="C8CDD4" w:sz="2"/>
              <w:bottom w:val="single" w:color="C8CDD4" w:sz="2"/>
              <w:right w:val="single" w:color="C8CDD4" w:sz="2"/>
            </w:tcBorders>
            <w:shd w:fill="B91C1C"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Action</w:t>
            </w:r>
          </w:p>
        </w:tc>
      </w:tr>
      <w:tr>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3.0 to 4.0</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Ready</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Proceed. Record the committed dates in the cryptographic census and track them.</w:t>
            </w:r>
          </w:p>
        </w:tc>
      </w:tr>
      <w:tr>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2.0 to 2.9</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Acceptable with conditions</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Proceed with contractual commitments from Section G attached, and a review point.</w:t>
            </w:r>
          </w:p>
        </w:tc>
      </w:tr>
      <w:tr>
        <w:tc>
          <w:tcPr>
            <w:tcW w:type="dxa" w:w="181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1.0 to 1.9</w:t>
            </w:r>
          </w:p>
        </w:tc>
        <w:tc>
          <w:tcPr>
            <w:tcW w:type="dxa" w:w="3024"/>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Constraint</w:t>
            </w:r>
          </w:p>
        </w:tc>
        <w:tc>
          <w:tcPr>
            <w:tcW w:type="dxa" w:w="5242"/>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This vendor caps your migration timeline. Escalate commercially and model an exit.</w:t>
            </w:r>
          </w:p>
        </w:tc>
      </w:tr>
      <w:tr>
        <w:tc>
          <w:tcPr>
            <w:tcW w:type="dxa" w:w="181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Below 1.0</w:t>
            </w:r>
          </w:p>
        </w:tc>
        <w:tc>
          <w:tcPr>
            <w:tcW w:type="dxa" w:w="3024"/>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Unacceptable for long lived data</w:t>
            </w:r>
          </w:p>
        </w:tc>
        <w:tc>
          <w:tcPr>
            <w:tcW w:type="dxa" w:w="5242"/>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Do not place data with a long confidentiality requirement here. Begin exit planning.</w:t>
            </w:r>
          </w:p>
        </w:tc>
      </w:tr>
    </w:tbl>
    <w:p>
      <w:pPr>
        <w:pStyle w:val="Heading3"/>
        <w:spacing w:after="40" w:before="180"/>
      </w:pPr>
      <w:r>
        <w:rPr>
          <w:rFonts w:ascii="Arial" w:cs="Arial" w:eastAsia="Arial" w:hAnsi="Arial"/>
          <w:b/>
          <w:bCs/>
          <w:i w:val="false"/>
          <w:iCs w:val="false"/>
          <w:caps w:val="false"/>
          <w:color w:val="1A2A3A"/>
          <w:sz w:val="21"/>
          <w:szCs w:val="21"/>
        </w:rPr>
        <w:t xml:space="preserve">9.2 Red flags that override the score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refusal to disclose which algorithms the product uses. There is no legitimate commercial reason for this, and it prevents you from assessing your own exposure.</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claim of quantum safety without naming a standardised algorithm.</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claim that larger classical key sizes provide quantum resistance. They do not, and the claim indicates the respondent does not understand the problem they are answering questions about.</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 roadmap date that has already moved once during your engagement without notification.</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Post quantum support available only in a product edition your contract does not include, disclosed late in the process.</w:t>
      </w:r>
    </w:p>
    <w:p>
      <w:pPr>
        <w:pStyle w:val="ListParagraph"/>
        <w:numPr>
          <w:ilvl w:val="0"/>
          <w:numId w:val="2"/>
        </w:numPr>
        <w:spacing w:after="60" w:before="40" w:line="268"/>
      </w:pPr>
      <w:r>
        <w:rPr>
          <w:rFonts w:ascii="Arial" w:cs="Arial" w:eastAsia="Arial" w:hAnsi="Arial"/>
          <w:b w:val="false"/>
          <w:bCs w:val="false"/>
          <w:i w:val="false"/>
          <w:iCs w:val="false"/>
          <w:caps w:val="false"/>
          <w:color w:val="222222"/>
          <w:sz w:val="20"/>
          <w:szCs w:val="20"/>
        </w:rPr>
        <w:t xml:space="preserve">An inability to name an accountable executive for the roadmap.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21"/>
        <w:gridCol w:w="2218"/>
        <w:gridCol w:w="1814"/>
        <w:gridCol w:w="2016"/>
        <w:gridCol w:w="1411"/>
      </w:tblGrid>
      <w:tr>
        <w:trPr>
          <w:tblHeader/>
        </w:trPr>
        <w:tc>
          <w:tcPr>
            <w:tcW w:type="dxa" w:w="262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Evaluator</w:t>
            </w:r>
          </w:p>
        </w:tc>
        <w:tc>
          <w:tcPr>
            <w:tcW w:type="dxa" w:w="2218"/>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Name</w:t>
            </w:r>
          </w:p>
        </w:tc>
        <w:tc>
          <w:tcPr>
            <w:tcW w:type="dxa" w:w="1814"/>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Weighted score</w:t>
            </w:r>
          </w:p>
        </w:tc>
        <w:tc>
          <w:tcPr>
            <w:tcW w:type="dxa" w:w="2016"/>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Disposition</w:t>
            </w:r>
          </w:p>
        </w:tc>
        <w:tc>
          <w:tcPr>
            <w:tcW w:type="dxa" w:w="1411"/>
            <w:tcBorders>
              <w:top w:val="single" w:color="C8CDD4" w:sz="2"/>
              <w:left w:val="single" w:color="C8CDD4" w:sz="2"/>
              <w:bottom w:val="single" w:color="C8CDD4" w:sz="2"/>
              <w:right w:val="single" w:color="C8CDD4" w:sz="2"/>
            </w:tcBorders>
            <w:shd w:fill="475569" w:val="clear"/>
            <w:tcMar>
              <w:top w:type="dxa" w:w="90"/>
              <w:left w:type="dxa" w:w="110"/>
              <w:bottom w:type="dxa" w:w="90"/>
              <w:right w:type="dxa" w:w="110"/>
            </w:tcMar>
          </w:tcPr>
          <w:p>
            <w:pPr>
              <w:keepNext w:val="false"/>
              <w:spacing w:after="0" w:before="0" w:line="276"/>
              <w:jc w:val="left"/>
            </w:pPr>
            <w:r>
              <w:rPr>
                <w:rFonts w:ascii="Arial" w:cs="Arial" w:eastAsia="Arial" w:hAnsi="Arial"/>
                <w:b/>
                <w:bCs/>
                <w:i w:val="false"/>
                <w:iCs w:val="false"/>
                <w:caps w:val="false"/>
                <w:color w:val="FFFFFF"/>
                <w:sz w:val="17"/>
                <w:szCs w:val="17"/>
              </w:rPr>
              <w:t xml:space="preserve">Date</w:t>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Security architecture</w:t>
            </w:r>
          </w:p>
        </w:tc>
        <w:tc>
          <w:tcPr>
            <w:tcW w:type="dxa" w:w="221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2621"/>
            <w:tcBorders>
              <w:top w:val="single" w:color="C8CDD4" w:sz="2"/>
              <w:left w:val="single" w:color="C8CDD4" w:sz="2"/>
              <w:bottom w:val="single" w:color="C8CDD4" w:sz="2"/>
              <w:right w:val="single" w:color="C8CDD4" w:sz="2"/>
            </w:tcBorders>
            <w:shd w:fill="F7F8FA"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Procurement</w:t>
            </w:r>
          </w:p>
        </w:tc>
        <w:tc>
          <w:tcPr>
            <w:tcW w:type="dxa" w:w="221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r>
        <w:tc>
          <w:tcPr>
            <w:tcW w:type="dxa" w:w="2621"/>
            <w:tcBorders>
              <w:top w:val="single" w:color="C8CDD4" w:sz="2"/>
              <w:left w:val="single" w:color="C8CDD4" w:sz="2"/>
              <w:bottom w:val="single" w:color="C8CDD4" w:sz="2"/>
              <w:right w:val="single" w:color="C8CDD4" w:sz="2"/>
            </w:tcBorders>
            <w:shd w:fill="FFFFFF" w:val="clear"/>
            <w:tcMar>
              <w:top w:type="dxa" w:w="80"/>
              <w:left w:type="dxa" w:w="110"/>
              <w:bottom w:type="dxa" w:w="80"/>
              <w:right w:type="dxa" w:w="110"/>
            </w:tcMar>
          </w:tcPr>
          <w:p>
            <w:pPr>
              <w:keepNext w:val="false"/>
              <w:spacing w:after="0" w:before="0" w:line="276"/>
              <w:jc w:val="left"/>
            </w:pPr>
            <w:r>
              <w:rPr>
                <w:rFonts w:ascii="Arial" w:cs="Arial" w:eastAsia="Arial" w:hAnsi="Arial"/>
                <w:b/>
                <w:bCs/>
                <w:i w:val="false"/>
                <w:iCs w:val="false"/>
                <w:caps w:val="false"/>
                <w:color w:val="222222"/>
                <w:sz w:val="17"/>
                <w:szCs w:val="17"/>
              </w:rPr>
              <w:t xml:space="preserve">Accountable approver</w:t>
            </w:r>
          </w:p>
        </w:tc>
        <w:tc>
          <w:tcPr>
            <w:tcW w:type="dxa" w:w="2218"/>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814"/>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2016"/>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c>
          <w:tcPr>
            <w:tcW w:type="dxa" w:w="1411"/>
            <w:tcBorders>
              <w:top w:val="single" w:color="C8CDD4" w:sz="2"/>
              <w:left w:val="single" w:color="C8CDD4" w:sz="2"/>
              <w:bottom w:val="single" w:color="C8CDD4" w:sz="2"/>
              <w:right w:val="single" w:color="C8CDD4" w:sz="2"/>
            </w:tcBorders>
            <w:shd w:fill="FFF9DB" w:val="clear"/>
            <w:tcMar>
              <w:top w:type="dxa" w:w="80"/>
              <w:left w:type="dxa" w:w="110"/>
              <w:bottom w:type="dxa" w:w="80"/>
              <w:right w:type="dxa" w:w="110"/>
            </w:tcMar>
          </w:tcPr>
          <w:p>
            <w:pPr>
              <w:keepNext w:val="false"/>
              <w:spacing w:after="0" w:before="0" w:line="276"/>
              <w:jc w:val="left"/>
            </w:pPr>
            <w:r>
              <w:rPr>
                <w:rFonts w:ascii="Arial" w:cs="Arial" w:eastAsia="Arial" w:hAnsi="Arial"/>
                <w:b w:val="false"/>
                <w:bCs w:val="false"/>
                <w:i w:val="false"/>
                <w:iCs w:val="false"/>
                <w:caps w:val="false"/>
                <w:color w:val="222222"/>
                <w:sz w:val="17"/>
                <w:szCs w:val="17"/>
              </w:rPr>
              <w:t xml:space="preserve"/>
            </w: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475569" w:sz="18"/>
              <w:bottom w:val="none" w:color="FFFFFF" w:sz="0"/>
              <w:right w:val="none" w:color="FFFFFF" w:sz="0"/>
            </w:tcBorders>
            <w:shd w:fill="F7F4EA" w:val="clear"/>
            <w:tcMar>
              <w:top w:type="dxa" w:w="120"/>
              <w:left w:type="dxa" w:w="160"/>
              <w:bottom w:type="dxa" w:w="120"/>
              <w:right w:type="dxa" w:w="160"/>
            </w:tcMar>
          </w:tcPr>
          <w:p>
            <w:pPr>
              <w:keepNext w:val="false"/>
              <w:spacing w:after="60" w:before="60" w:line="276"/>
              <w:jc w:val="left"/>
            </w:pPr>
            <w:r>
              <w:rPr>
                <w:rFonts w:ascii="Arial" w:cs="Arial" w:eastAsia="Arial" w:hAnsi="Arial"/>
                <w:b/>
                <w:bCs/>
                <w:i w:val="false"/>
                <w:iCs w:val="false"/>
                <w:caps w:val="false"/>
                <w:color w:val="1A2A3A"/>
                <w:sz w:val="20"/>
                <w:szCs w:val="20"/>
              </w:rPr>
              <w:t xml:space="preserve">WHERE THIS QUESTIONNAIRE CAME FROM</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The post quantum architecture, the migration sequencing and the vendor dependency argument are set out in When Agents Rule, Chapters 6 and 13. Record every dated commitment you obtain in the cryptographic census, the Cryptographic Census workbook, so that vendor dates and your own migration waves live in the same place.</w:t>
            </w:r>
          </w:p>
          <w:p>
            <w:pPr>
              <w:keepNext w:val="false"/>
              <w:spacing w:after="40" w:before="60" w:line="276"/>
              <w:jc w:val="left"/>
            </w:pPr>
            <w:r>
              <w:rPr>
                <w:rFonts w:ascii="Arial" w:cs="Arial" w:eastAsia="Arial" w:hAnsi="Arial"/>
                <w:b w:val="false"/>
                <w:bCs w:val="false"/>
                <w:i w:val="false"/>
                <w:iCs w:val="false"/>
                <w:caps w:val="false"/>
                <w:color w:val="333333"/>
                <w:sz w:val="19"/>
                <w:szCs w:val="19"/>
              </w:rPr>
              <w:t xml:space="preserve">Provided for internal use within your own organization. Not legal advice. Standards references were current at the September 2026 build date and should be reverified before issue.</w:t>
            </w:r>
          </w:p>
        </w:tc>
      </w:tr>
    </w:tbl>
    <w:sectPr>
      <w:headerReference w:type="default" r:id="rId7"/>
      <w:footerReference w:type="default" r:id="rId8"/>
      <w:pgSz w:w="12240" w:h="15840" w:orient="portrait"/>
      <w:pgMar w:top="1080" w:right="1080" w:bottom="1080" w:left="108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9DF" w:sz="4" w:space="6"/>
      </w:pBdr>
      <w:tabs>
        <w:tab w:val="right" w:pos="10080"/>
      </w:tabs>
      <w:spacing w:before="40"/>
      <w:jc w:val="left"/>
    </w:pPr>
    <w:r>
      <w:rPr>
        <w:rFonts w:ascii="Arial" w:cs="Arial" w:eastAsia="Arial" w:hAnsi="Arial"/>
        <w:b w:val="false"/>
        <w:bCs w:val="false"/>
        <w:i w:val="false"/>
        <w:iCs w:val="false"/>
        <w:caps w:val="false"/>
        <w:color w:val="475569"/>
        <w:sz w:val="14"/>
        <w:szCs w:val="14"/>
      </w:rPr>
      <w:t xml:space="preserve">Companion toolkit for When Agents Rule by Steven Oppenheim. Free for internal use. Not legal, technical or financial advice.</w:t>
    </w:r>
    <w:r>
      <w:rPr>
        <w:rFonts w:ascii="Arial" w:cs="Arial" w:eastAsia="Arial" w:hAnsi="Arial"/>
        <w:color w:val="475569"/>
        <w:sz w:val="14"/>
        <w:szCs w:val="14"/>
      </w:rPr>
      <w:t xml:space="preserve">	</w:t>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1C1C" w:sz="6" w:space="4"/>
      </w:pBdr>
      <w:spacing w:after="40"/>
    </w:pPr>
    <w:r>
      <w:rPr>
        <w:rFonts w:ascii="Arial" w:cs="Arial" w:eastAsia="Arial" w:hAnsi="Arial"/>
        <w:b/>
        <w:bCs/>
        <w:i w:val="false"/>
        <w:iCs w:val="false"/>
        <w:caps/>
        <w:color w:val="C9A227"/>
        <w:sz w:val="16"/>
        <w:szCs w:val="16"/>
      </w:rPr>
      <w:t xml:space="preserve">WHEN AGENTS RULE</w:t>
    </w:r>
    <w:r>
      <w:rPr>
        <w:rFonts w:ascii="Arial" w:cs="Arial" w:eastAsia="Arial" w:hAnsi="Arial"/>
        <w:b w:val="false"/>
        <w:bCs w:val="false"/>
        <w:i w:val="false"/>
        <w:iCs w:val="false"/>
        <w:caps w:val="false"/>
        <w:color w:val="475569"/>
        <w:sz w:val="16"/>
        <w:szCs w:val="16"/>
      </w:rPr>
      <w:t xml:space="preserve">     VENDOR POST QUANTUM READINESS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1A2A3A"/>
        <w:sz w:val="20"/>
        <w:szCs w:val="20"/>
      </w:rPr>
    </w:lvl>
    <w:lvl w:ilvl="1" w15:tentative="1">
      <w:start w:val="1"/>
      <w:numFmt w:val="bullet"/>
      <w:lvlText w:val="◦"/>
      <w:lvlJc w:val="left"/>
      <w:pPr>
        <w:ind w:left="720" w:hanging="220"/>
      </w:pPr>
      <w:rPr>
        <w:rFonts w:ascii="Arial" w:cs="Arial" w:eastAsia="Arial" w:hAnsi="Arial"/>
        <w:color w:val="1A2A3A"/>
        <w:sz w:val="20"/>
        <w:szCs w:val="20"/>
      </w:rPr>
    </w:lvl>
  </w:abstractNum>
  <w:abstractNum w:abstractNumId="3" w15:restartNumberingAfterBreak="0">
    <w:multiLevelType w:val="hybridMultilevel"/>
    <w:lvl w:ilvl="0" w15:tentative="1">
      <w:start w:val="1"/>
      <w:numFmt w:val="decimal"/>
      <w:lvlText w:val="%1."/>
      <w:lvlJc w:val="left"/>
      <w:pPr>
        <w:ind w:left="400" w:hanging="260"/>
      </w:pPr>
      <w:rPr>
        <w:rFonts w:ascii="Arial" w:cs="Arial" w:eastAsia="Arial" w:hAnsi="Arial"/>
        <w:b/>
        <w:bCs/>
        <w:color w:val="1A2A3A"/>
        <w:sz w:val="20"/>
        <w:szCs w:val="20"/>
      </w:rPr>
    </w:lvl>
    <w:lvl w:ilvl="1" w15:tentative="1">
      <w:start w:val="1"/>
      <w:numFmt w:val="lowerLetter"/>
      <w:lvlText w:val="%2."/>
      <w:lvlJc w:val="left"/>
      <w:pPr>
        <w:ind w:left="760" w:hanging="260"/>
      </w:pPr>
      <w:rPr>
        <w:rFonts w:ascii="Arial" w:cs="Arial" w:eastAsia="Arial" w:hAnsi="Arial"/>
        <w:color w:val="1A2A3A"/>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Post Quantum Readiness Questionnaire</dc:title>
  <dc:creator>Steven Oppenheim</dc:creator>
  <dc:description>When Agents Rule companion toolkit, Quantum Readiness group</dc:description>
  <cp:lastModifiedBy>Un-named</cp:lastModifiedBy>
  <cp:revision>1</cp:revision>
  <dcterms:created xsi:type="dcterms:W3CDTF">2026-09-13T12:03:43.080Z</dcterms:created>
  <dcterms:modified xsi:type="dcterms:W3CDTF">2026-09-13T12:03:43.080Z</dcterms:modified>
</cp:coreProperties>
</file>

<file path=docProps/custom.xml><?xml version="1.0" encoding="utf-8"?>
<Properties xmlns="http://schemas.openxmlformats.org/officeDocument/2006/custom-properties" xmlns:vt="http://schemas.openxmlformats.org/officeDocument/2006/docPropsVTypes"/>
</file>